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A1328E" w14:textId="247FACFB" w:rsidR="00C67A98" w:rsidRPr="00DA5352" w:rsidRDefault="008E0960"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14:anchorId="077F5124" wp14:editId="617D71B2">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14:paraId="681D5803"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48C6508B" w14:textId="77777777" w:rsidR="00C67A98" w:rsidRPr="00DA5352" w:rsidRDefault="00C67A98" w:rsidP="00F41198">
      <w:pPr>
        <w:ind w:left="2007"/>
        <w:rPr>
          <w:color w:val="0000FF"/>
        </w:rPr>
      </w:pPr>
    </w:p>
    <w:p w14:paraId="7B0CBC16"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32987ECC" w14:textId="77777777" w:rsidR="00AA1E2F" w:rsidRPr="00DA5352" w:rsidRDefault="00AA1E2F" w:rsidP="008E736E">
      <w:pPr>
        <w:pStyle w:val="BodyTextIndent"/>
        <w:ind w:left="0" w:firstLine="0"/>
        <w:rPr>
          <w:rFonts w:ascii="Arial" w:hAnsi="Arial" w:cs="Arial"/>
          <w:color w:val="0000FF"/>
          <w:sz w:val="22"/>
          <w:szCs w:val="22"/>
        </w:rPr>
      </w:pPr>
    </w:p>
    <w:p w14:paraId="1F4513AE" w14:textId="77777777" w:rsidR="006D1B4E" w:rsidRDefault="006D1B4E" w:rsidP="006D1B4E">
      <w:pPr>
        <w:rPr>
          <w:rFonts w:ascii="Arial" w:hAnsi="Arial" w:cs="Arial"/>
          <w:sz w:val="22"/>
          <w:szCs w:val="22"/>
          <w:lang w:val="en-GB"/>
        </w:rPr>
      </w:pPr>
    </w:p>
    <w:p w14:paraId="3810BD33" w14:textId="77777777"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14:paraId="75370FD6" w14:textId="77777777"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4CAA1A93" w14:textId="77777777" w:rsidTr="00C15EC4">
        <w:tc>
          <w:tcPr>
            <w:tcW w:w="3064" w:type="dxa"/>
            <w:tcBorders>
              <w:top w:val="double" w:sz="4" w:space="0" w:color="auto"/>
              <w:left w:val="double" w:sz="4" w:space="0" w:color="auto"/>
              <w:right w:val="single" w:sz="4" w:space="0" w:color="auto"/>
            </w:tcBorders>
            <w:vAlign w:val="center"/>
          </w:tcPr>
          <w:p w14:paraId="5C677B6D"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08F6FA04" w14:textId="6B98A326" w:rsidR="006D1B4E" w:rsidRPr="00C61931" w:rsidRDefault="00C52D98" w:rsidP="00291213">
            <w:pPr>
              <w:pStyle w:val="BodyTextIndent"/>
              <w:ind w:left="0" w:firstLine="0"/>
              <w:rPr>
                <w:rFonts w:ascii="Times New Roman" w:hAnsi="Times New Roman"/>
                <w:b/>
                <w:i/>
                <w:sz w:val="36"/>
                <w:szCs w:val="36"/>
              </w:rPr>
            </w:pPr>
            <w:r w:rsidRPr="00C52D98">
              <w:rPr>
                <w:rFonts w:ascii="Times New Roman" w:hAnsi="Times New Roman"/>
                <w:b/>
                <w:i/>
                <w:sz w:val="36"/>
                <w:szCs w:val="36"/>
              </w:rPr>
              <w:t>2017.019M</w:t>
            </w:r>
          </w:p>
        </w:tc>
        <w:tc>
          <w:tcPr>
            <w:tcW w:w="3091" w:type="dxa"/>
            <w:tcBorders>
              <w:top w:val="double" w:sz="4" w:space="0" w:color="auto"/>
              <w:left w:val="single" w:sz="4" w:space="0" w:color="auto"/>
              <w:right w:val="double" w:sz="4" w:space="0" w:color="auto"/>
            </w:tcBorders>
            <w:vAlign w:val="center"/>
          </w:tcPr>
          <w:p w14:paraId="05E210C5" w14:textId="77777777"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14:paraId="52948FED" w14:textId="77777777">
        <w:tc>
          <w:tcPr>
            <w:tcW w:w="9468" w:type="dxa"/>
            <w:gridSpan w:val="6"/>
            <w:tcBorders>
              <w:left w:val="double" w:sz="4" w:space="0" w:color="auto"/>
              <w:right w:val="double" w:sz="4" w:space="0" w:color="auto"/>
            </w:tcBorders>
          </w:tcPr>
          <w:p w14:paraId="34CA5E68" w14:textId="77777777" w:rsidR="00AA3952" w:rsidRPr="001E492D" w:rsidRDefault="006D1B4E" w:rsidP="00F74D87">
            <w:pPr>
              <w:spacing w:before="120"/>
              <w:rPr>
                <w:b/>
              </w:rPr>
            </w:pPr>
            <w:r>
              <w:rPr>
                <w:b/>
              </w:rPr>
              <w:t>Short title:</w:t>
            </w:r>
            <w:r w:rsidR="00AA3952">
              <w:rPr>
                <w:b/>
              </w:rPr>
              <w:t xml:space="preserve"> </w:t>
            </w:r>
            <w:r w:rsidR="001A6A90" w:rsidRPr="001A6A90">
              <w:rPr>
                <w:b/>
              </w:rPr>
              <w:t xml:space="preserve">One (1) new species in the genus </w:t>
            </w:r>
            <w:r w:rsidR="001A6A90" w:rsidRPr="001A6A90">
              <w:rPr>
                <w:b/>
                <w:i/>
              </w:rPr>
              <w:t>Tibrovirus</w:t>
            </w:r>
            <w:r w:rsidR="001A6A90" w:rsidRPr="001A6A90">
              <w:rPr>
                <w:b/>
              </w:rPr>
              <w:t xml:space="preserve"> (</w:t>
            </w:r>
            <w:r w:rsidR="001A6A90" w:rsidRPr="001A6A90">
              <w:rPr>
                <w:b/>
                <w:i/>
              </w:rPr>
              <w:t>Mononegavirales</w:t>
            </w:r>
            <w:r w:rsidR="001A6A90" w:rsidRPr="001A6A90">
              <w:rPr>
                <w:b/>
              </w:rPr>
              <w:t xml:space="preserve">: </w:t>
            </w:r>
            <w:r w:rsidR="001A6A90" w:rsidRPr="001A6A90">
              <w:rPr>
                <w:b/>
                <w:i/>
              </w:rPr>
              <w:t>Rhabdoviridae</w:t>
            </w:r>
            <w:r w:rsidR="001A6A90" w:rsidRPr="001A6A90">
              <w:rPr>
                <w:b/>
              </w:rPr>
              <w:t>)</w:t>
            </w:r>
          </w:p>
        </w:tc>
      </w:tr>
      <w:tr w:rsidR="00210B49" w:rsidRPr="001E492D" w14:paraId="5B58C908" w14:textId="77777777" w:rsidTr="00C15EC4">
        <w:tc>
          <w:tcPr>
            <w:tcW w:w="4458" w:type="dxa"/>
            <w:gridSpan w:val="2"/>
            <w:tcBorders>
              <w:left w:val="double" w:sz="4" w:space="0" w:color="auto"/>
              <w:bottom w:val="double" w:sz="4" w:space="0" w:color="auto"/>
              <w:right w:val="single" w:sz="4" w:space="0" w:color="auto"/>
            </w:tcBorders>
            <w:vAlign w:val="center"/>
          </w:tcPr>
          <w:p w14:paraId="28625044" w14:textId="77777777" w:rsidR="00210B49" w:rsidRDefault="00210B49" w:rsidP="009845DD">
            <w:pPr>
              <w:rPr>
                <w:b/>
              </w:rPr>
            </w:pPr>
            <w:r>
              <w:rPr>
                <w:b/>
              </w:rPr>
              <w:t xml:space="preserve">Modules attached </w:t>
            </w:r>
          </w:p>
          <w:p w14:paraId="5EADFA06"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535D904B"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47757E76" w14:textId="77777777"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0" w:name="Check2"/>
            <w:r w:rsidR="001A6A90">
              <w:rPr>
                <w:b/>
              </w:rPr>
              <w:fldChar w:fldCharType="begin">
                <w:ffData>
                  <w:name w:val=""/>
                  <w:enabled/>
                  <w:calcOnExit w:val="0"/>
                  <w:checkBox>
                    <w:sizeAuto/>
                    <w:default w:val="1"/>
                  </w:checkBox>
                </w:ffData>
              </w:fldChar>
            </w:r>
            <w:r w:rsidR="001A6A90">
              <w:rPr>
                <w:b/>
              </w:rPr>
              <w:instrText xml:space="preserve"> FORMCHECKBOX </w:instrText>
            </w:r>
            <w:r w:rsidR="006411AC">
              <w:rPr>
                <w:b/>
              </w:rPr>
            </w:r>
            <w:r w:rsidR="006411AC">
              <w:rPr>
                <w:b/>
              </w:rPr>
              <w:fldChar w:fldCharType="separate"/>
            </w:r>
            <w:r w:rsidR="001A6A90">
              <w:rPr>
                <w:b/>
              </w:rPr>
              <w:fldChar w:fldCharType="end"/>
            </w:r>
            <w:r w:rsidR="00C67A98">
              <w:rPr>
                <w:b/>
              </w:rPr>
              <w:t xml:space="preserve">       </w:t>
            </w:r>
            <w:bookmarkEnd w:id="0"/>
            <w:r w:rsidR="00C67A98">
              <w:rPr>
                <w:b/>
              </w:rPr>
              <w:t xml:space="preserve"> </w:t>
            </w:r>
            <w:r w:rsidR="004B5D02">
              <w:rPr>
                <w:b/>
              </w:rPr>
              <w:t>2</w:t>
            </w:r>
            <w:r>
              <w:rPr>
                <w:b/>
              </w:rPr>
              <w:t xml:space="preserve"> </w:t>
            </w:r>
            <w:r w:rsidR="001A6A90">
              <w:rPr>
                <w:b/>
              </w:rPr>
              <w:fldChar w:fldCharType="begin">
                <w:ffData>
                  <w:name w:val=""/>
                  <w:enabled/>
                  <w:calcOnExit w:val="0"/>
                  <w:checkBox>
                    <w:sizeAuto/>
                    <w:default w:val="1"/>
                  </w:checkBox>
                </w:ffData>
              </w:fldChar>
            </w:r>
            <w:r w:rsidR="001A6A90">
              <w:rPr>
                <w:b/>
              </w:rPr>
              <w:instrText xml:space="preserve"> FORMCHECKBOX </w:instrText>
            </w:r>
            <w:r w:rsidR="006411AC">
              <w:rPr>
                <w:b/>
              </w:rPr>
            </w:r>
            <w:r w:rsidR="006411AC">
              <w:rPr>
                <w:b/>
              </w:rPr>
              <w:fldChar w:fldCharType="separate"/>
            </w:r>
            <w:r w:rsidR="001A6A90">
              <w:rPr>
                <w:b/>
              </w:rPr>
              <w:fldChar w:fldCharType="end"/>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6411AC">
              <w:rPr>
                <w:b/>
              </w:rPr>
            </w:r>
            <w:r w:rsidR="006411AC">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1A6A90">
              <w:rPr>
                <w:b/>
              </w:rPr>
              <w:fldChar w:fldCharType="begin">
                <w:ffData>
                  <w:name w:val=""/>
                  <w:enabled/>
                  <w:calcOnExit w:val="0"/>
                  <w:checkBox>
                    <w:sizeAuto/>
                    <w:default w:val="1"/>
                  </w:checkBox>
                </w:ffData>
              </w:fldChar>
            </w:r>
            <w:r w:rsidR="001A6A90">
              <w:rPr>
                <w:b/>
              </w:rPr>
              <w:instrText xml:space="preserve"> FORMCHECKBOX </w:instrText>
            </w:r>
            <w:r w:rsidR="006411AC">
              <w:rPr>
                <w:b/>
              </w:rPr>
            </w:r>
            <w:r w:rsidR="006411AC">
              <w:rPr>
                <w:b/>
              </w:rPr>
              <w:fldChar w:fldCharType="separate"/>
            </w:r>
            <w:r w:rsidR="001A6A90">
              <w:rPr>
                <w:b/>
              </w:rPr>
              <w:fldChar w:fldCharType="end"/>
            </w:r>
            <w:r>
              <w:rPr>
                <w:b/>
              </w:rPr>
              <w:t xml:space="preserve">       </w:t>
            </w:r>
          </w:p>
          <w:p w14:paraId="01816052" w14:textId="77777777" w:rsidR="00210B49" w:rsidRDefault="00210B49" w:rsidP="004B5D02">
            <w:pPr>
              <w:rPr>
                <w:b/>
              </w:rPr>
            </w:pPr>
            <w:r>
              <w:rPr>
                <w:b/>
              </w:rPr>
              <w:t xml:space="preserve">  </w:t>
            </w:r>
          </w:p>
        </w:tc>
      </w:tr>
      <w:tr w:rsidR="00636B14" w:rsidRPr="001E492D" w14:paraId="456DD840" w14:textId="77777777">
        <w:tc>
          <w:tcPr>
            <w:tcW w:w="9468" w:type="dxa"/>
            <w:gridSpan w:val="6"/>
          </w:tcPr>
          <w:p w14:paraId="78252E4A" w14:textId="77777777" w:rsidR="00636B14" w:rsidRPr="001E492D" w:rsidRDefault="00636B14" w:rsidP="00CE5ECF">
            <w:pPr>
              <w:spacing w:before="120" w:after="120"/>
              <w:rPr>
                <w:b/>
              </w:rPr>
            </w:pPr>
            <w:r>
              <w:rPr>
                <w:b/>
              </w:rPr>
              <w:t>Author</w:t>
            </w:r>
            <w:r w:rsidRPr="001E492D">
              <w:rPr>
                <w:b/>
              </w:rPr>
              <w:t>(s):</w:t>
            </w:r>
          </w:p>
        </w:tc>
      </w:tr>
      <w:tr w:rsidR="00636B14" w:rsidRPr="001E492D" w14:paraId="604B18C6" w14:textId="77777777">
        <w:tc>
          <w:tcPr>
            <w:tcW w:w="9468" w:type="dxa"/>
            <w:gridSpan w:val="6"/>
            <w:tcBorders>
              <w:top w:val="single" w:sz="4" w:space="0" w:color="auto"/>
              <w:left w:val="single" w:sz="4" w:space="0" w:color="auto"/>
              <w:bottom w:val="single" w:sz="4" w:space="0" w:color="auto"/>
              <w:right w:val="single" w:sz="4" w:space="0" w:color="auto"/>
            </w:tcBorders>
          </w:tcPr>
          <w:p w14:paraId="220DE366" w14:textId="77777777" w:rsidR="00636B14" w:rsidRDefault="001A6A90" w:rsidP="001A6A90">
            <w:pPr>
              <w:pStyle w:val="BodyTextIndent"/>
              <w:tabs>
                <w:tab w:val="left" w:pos="1860"/>
              </w:tabs>
              <w:ind w:left="0" w:firstLine="0"/>
              <w:rPr>
                <w:rFonts w:ascii="Times New Roman" w:hAnsi="Times New Roman"/>
                <w:color w:val="000000"/>
              </w:rPr>
            </w:pPr>
            <w:r>
              <w:rPr>
                <w:rFonts w:ascii="Times New Roman" w:hAnsi="Times New Roman"/>
                <w:color w:val="000000"/>
              </w:rPr>
              <w:t>Wiley, Michael R.</w:t>
            </w:r>
          </w:p>
          <w:p w14:paraId="09D972DC" w14:textId="77777777" w:rsidR="001A6A90" w:rsidRDefault="001A6A90" w:rsidP="001A6A90">
            <w:pPr>
              <w:pStyle w:val="BodyTextIndent"/>
              <w:tabs>
                <w:tab w:val="left" w:pos="1860"/>
              </w:tabs>
              <w:ind w:left="0" w:firstLine="0"/>
              <w:rPr>
                <w:rFonts w:ascii="Times New Roman" w:hAnsi="Times New Roman"/>
                <w:color w:val="000000"/>
              </w:rPr>
            </w:pPr>
            <w:r>
              <w:rPr>
                <w:rFonts w:ascii="Times New Roman" w:hAnsi="Times New Roman"/>
                <w:color w:val="000000"/>
              </w:rPr>
              <w:t>Prieto, Karla</w:t>
            </w:r>
          </w:p>
          <w:p w14:paraId="76181B3D" w14:textId="77777777" w:rsidR="001A6A90" w:rsidRDefault="001A6A90" w:rsidP="001A6A90">
            <w:pPr>
              <w:pStyle w:val="BodyTextIndent"/>
              <w:tabs>
                <w:tab w:val="left" w:pos="1860"/>
              </w:tabs>
              <w:ind w:left="0" w:firstLine="0"/>
              <w:rPr>
                <w:rFonts w:ascii="Times New Roman" w:hAnsi="Times New Roman"/>
                <w:color w:val="000000"/>
              </w:rPr>
            </w:pPr>
            <w:r>
              <w:rPr>
                <w:rFonts w:ascii="Times New Roman" w:hAnsi="Times New Roman"/>
                <w:color w:val="000000"/>
              </w:rPr>
              <w:t>Blasdell, Kim R.</w:t>
            </w:r>
          </w:p>
          <w:p w14:paraId="15D9F1A4" w14:textId="77777777" w:rsidR="001A6A90" w:rsidRDefault="001A6A90" w:rsidP="001A6A90">
            <w:pPr>
              <w:pStyle w:val="BodyTextIndent"/>
              <w:tabs>
                <w:tab w:val="left" w:pos="1860"/>
              </w:tabs>
              <w:ind w:left="0" w:firstLine="0"/>
              <w:rPr>
                <w:rFonts w:ascii="Times New Roman" w:hAnsi="Times New Roman"/>
                <w:color w:val="000000"/>
              </w:rPr>
            </w:pPr>
            <w:r w:rsidRPr="001A6A90">
              <w:rPr>
                <w:rFonts w:ascii="Times New Roman" w:hAnsi="Times New Roman"/>
                <w:color w:val="000000"/>
              </w:rPr>
              <w:t>Caì,</w:t>
            </w:r>
            <w:r>
              <w:rPr>
                <w:rFonts w:ascii="Times New Roman" w:hAnsi="Times New Roman"/>
                <w:color w:val="000000"/>
              </w:rPr>
              <w:t xml:space="preserve"> </w:t>
            </w:r>
            <w:r w:rsidRPr="001A6A90">
              <w:rPr>
                <w:rFonts w:ascii="Times New Roman" w:hAnsi="Times New Roman"/>
                <w:color w:val="000000"/>
              </w:rPr>
              <w:t>Yíngyún</w:t>
            </w:r>
          </w:p>
          <w:p w14:paraId="6517EB6E" w14:textId="77777777" w:rsidR="001A6A90" w:rsidRDefault="001A6A90" w:rsidP="001A6A90">
            <w:pPr>
              <w:pStyle w:val="BodyTextIndent"/>
              <w:tabs>
                <w:tab w:val="left" w:pos="1860"/>
              </w:tabs>
              <w:ind w:left="0" w:firstLine="0"/>
              <w:rPr>
                <w:rFonts w:ascii="Times New Roman" w:hAnsi="Times New Roman"/>
                <w:color w:val="000000"/>
              </w:rPr>
            </w:pPr>
            <w:r>
              <w:rPr>
                <w:rFonts w:ascii="Times New Roman" w:hAnsi="Times New Roman"/>
                <w:color w:val="000000"/>
              </w:rPr>
              <w:t>Campos Lawson, Christine</w:t>
            </w:r>
          </w:p>
          <w:p w14:paraId="61AFC668" w14:textId="77777777" w:rsidR="001A6A90" w:rsidRDefault="001A6A90" w:rsidP="001A6A90">
            <w:pPr>
              <w:pStyle w:val="BodyTextIndent"/>
              <w:tabs>
                <w:tab w:val="left" w:pos="1860"/>
              </w:tabs>
              <w:ind w:left="0" w:firstLine="0"/>
              <w:rPr>
                <w:rFonts w:ascii="Times New Roman" w:hAnsi="Times New Roman"/>
                <w:color w:val="000000"/>
              </w:rPr>
            </w:pPr>
            <w:r>
              <w:rPr>
                <w:rFonts w:ascii="Times New Roman" w:hAnsi="Times New Roman"/>
                <w:color w:val="000000"/>
              </w:rPr>
              <w:t>Walker, Peter J.</w:t>
            </w:r>
          </w:p>
          <w:p w14:paraId="2F5B6FC1" w14:textId="77777777" w:rsidR="001A6A90" w:rsidRDefault="001A6A90" w:rsidP="001A6A90">
            <w:pPr>
              <w:pStyle w:val="BodyTextIndent"/>
              <w:tabs>
                <w:tab w:val="left" w:pos="1860"/>
              </w:tabs>
              <w:ind w:left="0" w:firstLine="0"/>
              <w:rPr>
                <w:rFonts w:ascii="Times New Roman" w:hAnsi="Times New Roman"/>
                <w:color w:val="000000"/>
              </w:rPr>
            </w:pPr>
            <w:r>
              <w:rPr>
                <w:rFonts w:ascii="Times New Roman" w:hAnsi="Times New Roman"/>
                <w:color w:val="000000"/>
              </w:rPr>
              <w:t>Chiu, Charles Y.</w:t>
            </w:r>
          </w:p>
          <w:p w14:paraId="61DB0F23" w14:textId="77777777" w:rsidR="001A6A90" w:rsidRDefault="001A6A90" w:rsidP="001A6A90">
            <w:pPr>
              <w:pStyle w:val="BodyTextIndent"/>
              <w:tabs>
                <w:tab w:val="left" w:pos="1860"/>
              </w:tabs>
              <w:ind w:left="0" w:firstLine="0"/>
              <w:rPr>
                <w:rFonts w:ascii="Times New Roman" w:hAnsi="Times New Roman"/>
                <w:color w:val="000000"/>
              </w:rPr>
            </w:pPr>
            <w:r>
              <w:rPr>
                <w:rFonts w:ascii="Times New Roman" w:hAnsi="Times New Roman"/>
                <w:color w:val="000000"/>
              </w:rPr>
              <w:t>Palacios, Gustavo</w:t>
            </w:r>
          </w:p>
          <w:p w14:paraId="2BE08B41" w14:textId="77777777" w:rsidR="001A6A90" w:rsidRPr="00C61931" w:rsidRDefault="001A6A90" w:rsidP="001A6A90">
            <w:pPr>
              <w:pStyle w:val="BodyTextIndent"/>
              <w:tabs>
                <w:tab w:val="left" w:pos="1860"/>
              </w:tabs>
              <w:ind w:left="0" w:firstLine="0"/>
              <w:rPr>
                <w:rFonts w:ascii="Times New Roman" w:hAnsi="Times New Roman"/>
                <w:color w:val="000000"/>
              </w:rPr>
            </w:pPr>
            <w:r>
              <w:rPr>
                <w:rFonts w:ascii="Times New Roman" w:hAnsi="Times New Roman"/>
                <w:color w:val="000000"/>
              </w:rPr>
              <w:t>Kuhn, Jens H.</w:t>
            </w:r>
          </w:p>
        </w:tc>
      </w:tr>
      <w:tr w:rsidR="00CE5ECF" w:rsidRPr="001E492D" w14:paraId="3F6FA490" w14:textId="77777777" w:rsidTr="003B1954">
        <w:tc>
          <w:tcPr>
            <w:tcW w:w="9468" w:type="dxa"/>
            <w:gridSpan w:val="6"/>
          </w:tcPr>
          <w:p w14:paraId="3C024DCE" w14:textId="77777777"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14:paraId="29A463D7"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39090227" w14:textId="77777777" w:rsidR="00CE5ECF" w:rsidRPr="00C61931" w:rsidRDefault="001A6A90" w:rsidP="003B1954">
            <w:pPr>
              <w:pStyle w:val="BodyTextIndent"/>
              <w:ind w:left="0" w:firstLine="0"/>
              <w:rPr>
                <w:rFonts w:ascii="Times New Roman" w:hAnsi="Times New Roman"/>
                <w:color w:val="000000"/>
              </w:rPr>
            </w:pPr>
            <w:r>
              <w:rPr>
                <w:rFonts w:ascii="Times New Roman" w:hAnsi="Times New Roman"/>
                <w:color w:val="000000"/>
              </w:rPr>
              <w:t xml:space="preserve">Kuhn, Jens H.; </w:t>
            </w:r>
            <w:hyperlink r:id="rId8" w:history="1">
              <w:r w:rsidRPr="00712529">
                <w:rPr>
                  <w:rStyle w:val="Hyperlink"/>
                  <w:rFonts w:ascii="Times New Roman" w:hAnsi="Times New Roman"/>
                </w:rPr>
                <w:t>kuhnjens@mail.nih.gov</w:t>
              </w:r>
            </w:hyperlink>
            <w:r>
              <w:rPr>
                <w:rFonts w:ascii="Times New Roman" w:hAnsi="Times New Roman"/>
                <w:color w:val="000000"/>
              </w:rPr>
              <w:t xml:space="preserve"> </w:t>
            </w:r>
          </w:p>
        </w:tc>
      </w:tr>
      <w:tr w:rsidR="00D1634C" w14:paraId="172DBE5D" w14:textId="77777777">
        <w:tc>
          <w:tcPr>
            <w:tcW w:w="9468" w:type="dxa"/>
            <w:gridSpan w:val="6"/>
          </w:tcPr>
          <w:p w14:paraId="2297087F"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41B6EE0E"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50ECC189" w14:textId="77777777"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9"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25C9971D" w14:textId="77777777" w:rsidR="00D1634C" w:rsidRPr="00986F6A" w:rsidRDefault="001A6A90" w:rsidP="00C15EC4">
            <w:pPr>
              <w:jc w:val="both"/>
              <w:rPr>
                <w:b/>
              </w:rPr>
            </w:pPr>
            <w:r w:rsidRPr="001A6A90">
              <w:rPr>
                <w:b/>
              </w:rPr>
              <w:t xml:space="preserve">ICTV </w:t>
            </w:r>
            <w:r w:rsidRPr="001A6A90">
              <w:rPr>
                <w:b/>
                <w:i/>
              </w:rPr>
              <w:t>Rhabdoviridae</w:t>
            </w:r>
            <w:r w:rsidRPr="001A6A90">
              <w:rPr>
                <w:b/>
              </w:rPr>
              <w:t xml:space="preserve"> SG</w:t>
            </w:r>
          </w:p>
        </w:tc>
      </w:tr>
      <w:tr w:rsidR="00AA3952" w:rsidRPr="001E492D" w14:paraId="5F1506F3" w14:textId="77777777">
        <w:trPr>
          <w:tblHeader/>
        </w:trPr>
        <w:tc>
          <w:tcPr>
            <w:tcW w:w="9468" w:type="dxa"/>
            <w:gridSpan w:val="6"/>
          </w:tcPr>
          <w:p w14:paraId="21D7639B"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768831D4" w14:textId="77777777">
        <w:trPr>
          <w:trHeight w:val="270"/>
        </w:trPr>
        <w:tc>
          <w:tcPr>
            <w:tcW w:w="9468" w:type="dxa"/>
            <w:gridSpan w:val="6"/>
            <w:tcBorders>
              <w:top w:val="single" w:sz="4" w:space="0" w:color="auto"/>
              <w:bottom w:val="single" w:sz="4" w:space="0" w:color="auto"/>
            </w:tcBorders>
          </w:tcPr>
          <w:p w14:paraId="44B889B8" w14:textId="77777777"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14:paraId="4C8F960F" w14:textId="77777777">
        <w:trPr>
          <w:trHeight w:val="270"/>
        </w:trPr>
        <w:tc>
          <w:tcPr>
            <w:tcW w:w="9468" w:type="dxa"/>
            <w:gridSpan w:val="6"/>
            <w:tcBorders>
              <w:top w:val="single" w:sz="4" w:space="0" w:color="auto"/>
            </w:tcBorders>
          </w:tcPr>
          <w:p w14:paraId="61EC97FC" w14:textId="77777777" w:rsidR="00422FF0" w:rsidRDefault="00422FF0" w:rsidP="00291213">
            <w:pPr>
              <w:pStyle w:val="BodyTextIndent"/>
              <w:ind w:left="0" w:firstLine="0"/>
              <w:rPr>
                <w:rFonts w:ascii="Times New Roman" w:hAnsi="Times New Roman"/>
                <w:color w:val="000000"/>
              </w:rPr>
            </w:pPr>
          </w:p>
        </w:tc>
      </w:tr>
      <w:tr w:rsidR="00422FF0" w:rsidRPr="001E492D" w14:paraId="62ACFDD4" w14:textId="77777777" w:rsidTr="00C15EC4">
        <w:trPr>
          <w:trHeight w:val="270"/>
        </w:trPr>
        <w:tc>
          <w:tcPr>
            <w:tcW w:w="5786" w:type="dxa"/>
            <w:gridSpan w:val="4"/>
          </w:tcPr>
          <w:p w14:paraId="3B7C8C6D"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3423F64F" w14:textId="4FEE9A8A" w:rsidR="00422FF0" w:rsidRDefault="001A6A90" w:rsidP="006F44A4">
            <w:pPr>
              <w:pStyle w:val="BodyTextIndent"/>
              <w:ind w:left="0" w:firstLine="0"/>
              <w:rPr>
                <w:rFonts w:ascii="Times New Roman" w:hAnsi="Times New Roman"/>
                <w:color w:val="000000"/>
              </w:rPr>
            </w:pPr>
            <w:r>
              <w:rPr>
                <w:rFonts w:ascii="Times New Roman" w:hAnsi="Times New Roman"/>
                <w:color w:val="000000"/>
              </w:rPr>
              <w:t>August 2</w:t>
            </w:r>
            <w:r w:rsidR="00077A77">
              <w:rPr>
                <w:rFonts w:ascii="Times New Roman" w:hAnsi="Times New Roman"/>
                <w:color w:val="000000"/>
              </w:rPr>
              <w:t>5</w:t>
            </w:r>
            <w:r>
              <w:rPr>
                <w:rFonts w:ascii="Times New Roman" w:hAnsi="Times New Roman"/>
                <w:color w:val="000000"/>
              </w:rPr>
              <w:t>, 2017</w:t>
            </w:r>
          </w:p>
        </w:tc>
      </w:tr>
      <w:tr w:rsidR="00422FF0" w:rsidRPr="001E492D" w14:paraId="0B2E7715" w14:textId="77777777" w:rsidTr="00C15EC4">
        <w:trPr>
          <w:trHeight w:val="270"/>
        </w:trPr>
        <w:tc>
          <w:tcPr>
            <w:tcW w:w="5786" w:type="dxa"/>
            <w:gridSpan w:val="4"/>
            <w:tcBorders>
              <w:bottom w:val="single" w:sz="4" w:space="0" w:color="auto"/>
            </w:tcBorders>
          </w:tcPr>
          <w:p w14:paraId="219292A6"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0F109B9C" w14:textId="77777777"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14:paraId="109B1814" w14:textId="77777777"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39283147" w14:textId="77777777" w:rsidTr="003B1954">
        <w:tc>
          <w:tcPr>
            <w:tcW w:w="9468" w:type="dxa"/>
          </w:tcPr>
          <w:p w14:paraId="28F77AA1"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0C332C4D" w14:textId="77777777" w:rsidTr="003B1954">
        <w:tc>
          <w:tcPr>
            <w:tcW w:w="9468" w:type="dxa"/>
            <w:tcBorders>
              <w:top w:val="single" w:sz="4" w:space="0" w:color="auto"/>
              <w:left w:val="single" w:sz="4" w:space="0" w:color="auto"/>
              <w:bottom w:val="single" w:sz="4" w:space="0" w:color="auto"/>
              <w:right w:val="single" w:sz="4" w:space="0" w:color="auto"/>
            </w:tcBorders>
          </w:tcPr>
          <w:p w14:paraId="55F752E0"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237400B" w14:textId="77777777" w:rsidR="00991A82" w:rsidRDefault="00991A82" w:rsidP="009E036E">
      <w:pPr>
        <w:pStyle w:val="BodyTextIndent"/>
        <w:ind w:left="0" w:firstLine="0"/>
        <w:rPr>
          <w:rFonts w:ascii="Times New Roman" w:hAnsi="Times New Roman"/>
          <w:color w:val="000000"/>
          <w:sz w:val="22"/>
          <w:szCs w:val="22"/>
        </w:rPr>
      </w:pPr>
    </w:p>
    <w:p w14:paraId="3CA0B712" w14:textId="77777777" w:rsidR="004B5D02" w:rsidRDefault="004B5D02" w:rsidP="009E036E">
      <w:pPr>
        <w:pStyle w:val="BodyTextIndent"/>
        <w:ind w:left="0" w:firstLine="0"/>
        <w:rPr>
          <w:rFonts w:ascii="Times New Roman" w:hAnsi="Times New Roman"/>
          <w:color w:val="000000"/>
          <w:sz w:val="22"/>
          <w:szCs w:val="22"/>
        </w:rPr>
      </w:pPr>
    </w:p>
    <w:p w14:paraId="7C9BF58B" w14:textId="77777777" w:rsidR="004B5D02" w:rsidRPr="006C4A0C" w:rsidRDefault="001A6A90" w:rsidP="004B5D02">
      <w:pPr>
        <w:rPr>
          <w:rFonts w:eastAsia="Times"/>
          <w:color w:val="000000"/>
          <w:sz w:val="22"/>
          <w:szCs w:val="22"/>
          <w:lang w:eastAsia="en-GB"/>
        </w:rPr>
      </w:pPr>
      <w:r>
        <w:rPr>
          <w:rFonts w:ascii="Arial" w:hAnsi="Arial" w:cs="Arial"/>
          <w:b/>
          <w:color w:val="000000"/>
          <w:sz w:val="20"/>
        </w:rPr>
        <w:br w:type="page"/>
      </w:r>
      <w:r w:rsidR="00CF3890" w:rsidRPr="006B2EE7">
        <w:rPr>
          <w:rFonts w:ascii="Arial" w:hAnsi="Arial" w:cs="Arial"/>
          <w:b/>
          <w:color w:val="000000"/>
          <w:sz w:val="20"/>
        </w:rPr>
        <w:lastRenderedPageBreak/>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14:paraId="3EB1830E" w14:textId="77777777" w:rsidTr="007D5A73">
        <w:tc>
          <w:tcPr>
            <w:tcW w:w="9468" w:type="dxa"/>
            <w:tcBorders>
              <w:top w:val="nil"/>
              <w:left w:val="nil"/>
              <w:right w:val="nil"/>
            </w:tcBorders>
            <w:vAlign w:val="center"/>
          </w:tcPr>
          <w:p w14:paraId="0627C4B2" w14:textId="77777777"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14:paraId="2DC62212"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3AFD983D" w14:textId="1C194431" w:rsidR="007D6DB6" w:rsidRPr="001E492D" w:rsidRDefault="007D6DB6" w:rsidP="00A5210B">
            <w:pPr>
              <w:spacing w:before="120"/>
              <w:rPr>
                <w:b/>
              </w:rPr>
            </w:pPr>
            <w:r>
              <w:rPr>
                <w:b/>
              </w:rPr>
              <w:t>Name of accompanying spreadsheet:</w:t>
            </w:r>
            <w:r w:rsidR="000A34C0">
              <w:rPr>
                <w:b/>
              </w:rPr>
              <w:t xml:space="preserve"> </w:t>
            </w:r>
            <w:r w:rsidR="00C52D98" w:rsidRPr="00C52D98">
              <w:rPr>
                <w:b/>
              </w:rPr>
              <w:t>2017.019M.U.v1.Tibrovirus_sp</w:t>
            </w:r>
            <w:bookmarkStart w:id="1" w:name="_GoBack"/>
            <w:bookmarkEnd w:id="1"/>
          </w:p>
        </w:tc>
      </w:tr>
    </w:tbl>
    <w:p w14:paraId="2515D213" w14:textId="77777777"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14:paraId="5128EBF5" w14:textId="77777777" w:rsidR="004937AC" w:rsidRDefault="004937AC" w:rsidP="00926A4D">
      <w:pPr>
        <w:pStyle w:val="BodyTextIndent"/>
        <w:ind w:left="0" w:firstLine="0"/>
        <w:rPr>
          <w:rFonts w:ascii="Times New Roman" w:hAnsi="Times New Roman"/>
          <w:color w:val="000000"/>
          <w:sz w:val="22"/>
          <w:szCs w:val="22"/>
        </w:rPr>
      </w:pPr>
    </w:p>
    <w:p w14:paraId="29F0F3AA" w14:textId="77777777" w:rsidR="004937AC" w:rsidRDefault="004937AC" w:rsidP="00926A4D">
      <w:pPr>
        <w:pStyle w:val="BodyTextIndent"/>
        <w:ind w:left="0" w:firstLine="0"/>
        <w:rPr>
          <w:rFonts w:ascii="Times New Roman" w:hAnsi="Times New Roman"/>
          <w:color w:val="000000"/>
          <w:sz w:val="22"/>
          <w:szCs w:val="22"/>
        </w:rPr>
      </w:pPr>
    </w:p>
    <w:p w14:paraId="1BC09C8C" w14:textId="77777777" w:rsidR="004937AC" w:rsidRDefault="004937AC" w:rsidP="00926A4D">
      <w:pPr>
        <w:pStyle w:val="BodyTextIndent"/>
        <w:ind w:left="0" w:firstLine="0"/>
        <w:rPr>
          <w:rFonts w:ascii="Arial" w:hAnsi="Arial" w:cs="Arial"/>
          <w:color w:val="000000"/>
          <w:sz w:val="20"/>
        </w:rPr>
      </w:pPr>
    </w:p>
    <w:p w14:paraId="47426DE4" w14:textId="77777777" w:rsidR="00AC0E72" w:rsidRDefault="008A76C1" w:rsidP="006C4A0C">
      <w:pPr>
        <w:pStyle w:val="BodyTextIndent"/>
        <w:ind w:left="0" w:firstLine="0"/>
      </w:pPr>
      <w:r>
        <w:rPr>
          <w:rFonts w:ascii="Arial" w:hAnsi="Arial" w:cs="Arial"/>
          <w:b/>
          <w:color w:val="000000"/>
          <w:sz w:val="20"/>
        </w:rPr>
        <w:br w:type="page"/>
      </w:r>
      <w:r w:rsidR="006B2EE7" w:rsidRPr="006B2EE7">
        <w:rPr>
          <w:rFonts w:ascii="Arial" w:hAnsi="Arial" w:cs="Arial"/>
          <w:b/>
          <w:color w:val="000000"/>
          <w:sz w:val="20"/>
        </w:rPr>
        <w:lastRenderedPageBreak/>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14:paraId="4792EDDC" w14:textId="77777777">
        <w:trPr>
          <w:tblHeader/>
        </w:trPr>
        <w:tc>
          <w:tcPr>
            <w:tcW w:w="9228" w:type="dxa"/>
          </w:tcPr>
          <w:p w14:paraId="5A7EA529" w14:textId="77777777"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14:paraId="6001BF7F" w14:textId="77777777">
        <w:trPr>
          <w:tblHeader/>
        </w:trPr>
        <w:tc>
          <w:tcPr>
            <w:tcW w:w="9228" w:type="dxa"/>
          </w:tcPr>
          <w:p w14:paraId="1FB4392A" w14:textId="47A70C57" w:rsidR="00BC2A5D" w:rsidRPr="001E492D" w:rsidRDefault="00BC2A5D" w:rsidP="00A11ACF">
            <w:pPr>
              <w:spacing w:after="120"/>
              <w:rPr>
                <w:b/>
              </w:rPr>
            </w:pPr>
          </w:p>
        </w:tc>
      </w:tr>
    </w:tbl>
    <w:p w14:paraId="104AF57E" w14:textId="606ABF50" w:rsidR="00077A77" w:rsidRDefault="00077A77" w:rsidP="00D44054">
      <w:pPr>
        <w:spacing w:after="120"/>
      </w:pPr>
      <w:r w:rsidRPr="008A76C1">
        <w:t>Beatrice Hill virus (BHV) was first reported in 1984 as a novel virus of biting midges (</w:t>
      </w:r>
      <w:r w:rsidRPr="00BC2A5D">
        <w:rPr>
          <w:i/>
        </w:rPr>
        <w:t>Culicoides peregrinus</w:t>
      </w:r>
      <w:r w:rsidRPr="008A76C1">
        <w:t>) that had been collected at Beatrice Hill, Northern Territory, Australia (</w:t>
      </w:r>
      <w:r>
        <w:t xml:space="preserve">Standfast </w:t>
      </w:r>
      <w:r w:rsidRPr="00BC2A5D">
        <w:rPr>
          <w:i/>
        </w:rPr>
        <w:t>et al</w:t>
      </w:r>
      <w:r>
        <w:t>.</w:t>
      </w:r>
      <w:r w:rsidRPr="008A76C1">
        <w:t>). In 2016, a 5,734 nt-long contig of the BHV genome</w:t>
      </w:r>
      <w:r>
        <w:t xml:space="preserve"> was published</w:t>
      </w:r>
      <w:r w:rsidRPr="008A76C1">
        <w:t>, which indicated that this virus most likely falls into the tibrovirus clade</w:t>
      </w:r>
      <w:r>
        <w:t xml:space="preserve"> (genus </w:t>
      </w:r>
      <w:r w:rsidRPr="00077A77">
        <w:rPr>
          <w:i/>
        </w:rPr>
        <w:t>Tibrovirus</w:t>
      </w:r>
      <w:r>
        <w:t>) of rhabdoviruses (</w:t>
      </w:r>
      <w:r w:rsidRPr="00077A77">
        <w:rPr>
          <w:i/>
        </w:rPr>
        <w:t>Mononegavirales</w:t>
      </w:r>
      <w:r>
        <w:t xml:space="preserve">: </w:t>
      </w:r>
      <w:r w:rsidRPr="00077A77">
        <w:rPr>
          <w:i/>
        </w:rPr>
        <w:t>Rhabdoviridae</w:t>
      </w:r>
      <w:r>
        <w:t xml:space="preserve">) </w:t>
      </w:r>
      <w:r w:rsidRPr="008A76C1">
        <w:t>(</w:t>
      </w:r>
      <w:r>
        <w:t xml:space="preserve">Huang </w:t>
      </w:r>
      <w:r w:rsidRPr="00BC2A5D">
        <w:rPr>
          <w:i/>
        </w:rPr>
        <w:t>et al</w:t>
      </w:r>
      <w:r>
        <w:t>.</w:t>
      </w:r>
      <w:r w:rsidRPr="008A76C1">
        <w:t xml:space="preserve">). </w:t>
      </w:r>
      <w:r>
        <w:t>Using a</w:t>
      </w:r>
      <w:r w:rsidRPr="008A76C1">
        <w:t xml:space="preserve"> historical sample of brain tissue from a laboratory mouse that had been infected intracranially with BHV-containing material</w:t>
      </w:r>
      <w:r>
        <w:t xml:space="preserve">, the BHV genome sequence was finally completely sequenced in (Wiley </w:t>
      </w:r>
      <w:r w:rsidRPr="00BC2A5D">
        <w:rPr>
          <w:i/>
        </w:rPr>
        <w:t>et al</w:t>
      </w:r>
      <w:r>
        <w:t>.)</w:t>
      </w:r>
      <w:r w:rsidRPr="008A76C1">
        <w:t>.</w:t>
      </w:r>
      <w:r>
        <w:t xml:space="preserve"> Using PASC (Bao </w:t>
      </w:r>
      <w:r w:rsidRPr="00BC2A5D">
        <w:rPr>
          <w:i/>
        </w:rPr>
        <w:t>et al</w:t>
      </w:r>
      <w:r>
        <w:t xml:space="preserve">.), the determined complete BHV genome sequence (GenBank # KY073493) was found to be 72.79% identical to that of Tibrogargan virus (TIBV, GenBank #GQ294472.1) and 72.48% identical to that of Bivens Arm virus (BAV, GenBank </w:t>
      </w:r>
      <w:r w:rsidR="005507C1">
        <w:t>#</w:t>
      </w:r>
      <w:r w:rsidR="005507C1" w:rsidRPr="005507C1">
        <w:t xml:space="preserve"> </w:t>
      </w:r>
      <w:r w:rsidR="005507C1">
        <w:t xml:space="preserve">KM205019 or </w:t>
      </w:r>
      <w:r>
        <w:t>#KP688373.1) (</w:t>
      </w:r>
      <w:r w:rsidR="005507C1">
        <w:t xml:space="preserve">Walker </w:t>
      </w:r>
      <w:r w:rsidR="005507C1" w:rsidRPr="005507C1">
        <w:rPr>
          <w:i/>
        </w:rPr>
        <w:t>et al</w:t>
      </w:r>
      <w:r w:rsidR="005507C1">
        <w:t xml:space="preserve">., </w:t>
      </w:r>
      <w:r>
        <w:t xml:space="preserve">Wiley </w:t>
      </w:r>
      <w:r w:rsidRPr="00BC2A5D">
        <w:rPr>
          <w:i/>
        </w:rPr>
        <w:t>et al</w:t>
      </w:r>
      <w:r>
        <w:t xml:space="preserve">.). </w:t>
      </w:r>
      <w:r w:rsidRPr="008A76C1">
        <w:t xml:space="preserve">Amino acid sequence identities indicate that </w:t>
      </w:r>
      <w:r>
        <w:t>BHV</w:t>
      </w:r>
      <w:r w:rsidRPr="008A76C1">
        <w:t xml:space="preserve"> is most closely related to </w:t>
      </w:r>
      <w:r>
        <w:t>BA</w:t>
      </w:r>
      <w:r w:rsidRPr="008A76C1">
        <w:t>V in the N (</w:t>
      </w:r>
      <w:r>
        <w:t>95</w:t>
      </w:r>
      <w:r w:rsidRPr="008A76C1">
        <w:t>%), G (</w:t>
      </w:r>
      <w:r>
        <w:t>82</w:t>
      </w:r>
      <w:r w:rsidRPr="008A76C1">
        <w:t>%) and L (</w:t>
      </w:r>
      <w:r>
        <w:t>86</w:t>
      </w:r>
      <w:r w:rsidRPr="008A76C1">
        <w:t xml:space="preserve">%) </w:t>
      </w:r>
      <w:r>
        <w:t>proteins, respectively</w:t>
      </w:r>
      <w:r w:rsidR="00736018">
        <w:t xml:space="preserve"> (Tables 1–3)</w:t>
      </w:r>
      <w:r w:rsidRPr="008A76C1">
        <w:t>. These levels of sequence divergence exceed 20%</w:t>
      </w:r>
      <w:r>
        <w:t xml:space="preserve"> at the nt level and ranges between 5–18% divergence at the aa</w:t>
      </w:r>
      <w:r w:rsidR="00DB32CF">
        <w:t xml:space="preserve"> level.</w:t>
      </w:r>
    </w:p>
    <w:p w14:paraId="599FB8A2" w14:textId="55DA7539" w:rsidR="00D44054" w:rsidRPr="008A76C1" w:rsidRDefault="00D44054" w:rsidP="00DB32CF">
      <w:pPr>
        <w:spacing w:after="120"/>
        <w:ind w:firstLine="720"/>
      </w:pPr>
      <w:r>
        <w:t xml:space="preserve">Tibrovirus </w:t>
      </w:r>
      <w:r w:rsidR="00205FA0">
        <w:t>s</w:t>
      </w:r>
      <w:r w:rsidRPr="008A76C1">
        <w:t>pecies demarcation criteria have previously been defined as follows: “The species demarcation criteria are based on low-level or no cross-reaction in virus</w:t>
      </w:r>
      <w:r>
        <w:t xml:space="preserve"> </w:t>
      </w:r>
      <w:r w:rsidRPr="008A76C1">
        <w:t>neutralisation tests</w:t>
      </w:r>
      <w:r w:rsidR="00DB32CF">
        <w:t>,</w:t>
      </w:r>
      <w:r w:rsidRPr="008A76C1">
        <w:t xml:space="preserve"> supported by phylogenetic analysis and genetic diversity estimations using L and N gene sequences to establish that the species represents a distinct lineage. Typically, there will be &lt;5% amino acid sequence diversity (divergence) within species and &gt;20% diversity (divergence) between species.” (</w:t>
      </w:r>
      <w:r w:rsidRPr="008A76C1">
        <w:rPr>
          <w:i/>
        </w:rPr>
        <w:t>Tibrovirus</w:t>
      </w:r>
      <w:r w:rsidRPr="008A76C1">
        <w:t xml:space="preserve"> genus proposal, ICTV, 2011)</w:t>
      </w:r>
      <w:r>
        <w:t>.</w:t>
      </w:r>
    </w:p>
    <w:p w14:paraId="0AD4794A" w14:textId="683EF8B4" w:rsidR="00D44054" w:rsidRDefault="00D44054" w:rsidP="00077A77">
      <w:pPr>
        <w:spacing w:after="120"/>
        <w:ind w:firstLine="720"/>
      </w:pPr>
      <w:r w:rsidRPr="008A76C1">
        <w:t xml:space="preserve">Like the viruses that have been assigned to </w:t>
      </w:r>
      <w:r>
        <w:t>established</w:t>
      </w:r>
      <w:r w:rsidRPr="008A76C1">
        <w:t xml:space="preserve"> </w:t>
      </w:r>
      <w:r w:rsidR="00077A77">
        <w:t xml:space="preserve">tibrovirus </w:t>
      </w:r>
      <w:r w:rsidRPr="008A76C1">
        <w:t>species (</w:t>
      </w:r>
      <w:r w:rsidR="005507C1">
        <w:t xml:space="preserve">Bas Congo virus [BASB]: </w:t>
      </w:r>
      <w:r w:rsidRPr="008A76C1">
        <w:rPr>
          <w:i/>
        </w:rPr>
        <w:t>Bas-Congo tibrovirus</w:t>
      </w:r>
      <w:r w:rsidR="005507C1">
        <w:t>;</w:t>
      </w:r>
      <w:r>
        <w:t xml:space="preserve"> </w:t>
      </w:r>
      <w:r w:rsidR="005507C1">
        <w:t xml:space="preserve">Coastal Plains virus [CPV]: </w:t>
      </w:r>
      <w:r w:rsidRPr="008A76C1">
        <w:rPr>
          <w:i/>
        </w:rPr>
        <w:t>Coastal Plains tibrovirus</w:t>
      </w:r>
      <w:r w:rsidR="005507C1">
        <w:t xml:space="preserve">; Ekpoma virus 1 [EKV-1]: </w:t>
      </w:r>
      <w:r w:rsidRPr="008A76C1">
        <w:rPr>
          <w:i/>
        </w:rPr>
        <w:t>Ekpoma 1 tibrovirus</w:t>
      </w:r>
      <w:r w:rsidR="005507C1">
        <w:t>;</w:t>
      </w:r>
      <w:r>
        <w:t xml:space="preserve"> </w:t>
      </w:r>
      <w:r w:rsidR="005507C1">
        <w:t xml:space="preserve">Ekpoma virus 2 [EKV-2]: </w:t>
      </w:r>
      <w:r w:rsidRPr="008A76C1">
        <w:rPr>
          <w:i/>
        </w:rPr>
        <w:t>Ekpoma 2 tibrovirus</w:t>
      </w:r>
      <w:r w:rsidR="005507C1">
        <w:t>; Sweetwater Branch virus [SWBV]:</w:t>
      </w:r>
      <w:r>
        <w:t xml:space="preserve"> </w:t>
      </w:r>
      <w:r w:rsidRPr="008A76C1">
        <w:rPr>
          <w:i/>
        </w:rPr>
        <w:t>Sweetwater Branch tibrovirus</w:t>
      </w:r>
      <w:r w:rsidR="005507C1">
        <w:t>;</w:t>
      </w:r>
      <w:r>
        <w:t xml:space="preserve"> and </w:t>
      </w:r>
      <w:r w:rsidR="005507C1">
        <w:t xml:space="preserve">Bivens Arm virus [BAV] together with Tibrogargan virus [TIBV]: </w:t>
      </w:r>
      <w:r w:rsidRPr="008A76C1">
        <w:rPr>
          <w:i/>
        </w:rPr>
        <w:t>Tibrogargan tibrovirus</w:t>
      </w:r>
      <w:r>
        <w:t>), the virus</w:t>
      </w:r>
      <w:r w:rsidRPr="008A76C1">
        <w:t xml:space="preserve"> we propose here to be assigned to new species in the genus </w:t>
      </w:r>
      <w:r w:rsidRPr="008A76C1">
        <w:rPr>
          <w:i/>
        </w:rPr>
        <w:t>Tibrovirus</w:t>
      </w:r>
      <w:r w:rsidRPr="008A76C1">
        <w:t xml:space="preserve"> </w:t>
      </w:r>
      <w:r>
        <w:t>(Beatrice Hill virus</w:t>
      </w:r>
      <w:r w:rsidR="005507C1">
        <w:t xml:space="preserve"> [BHV]</w:t>
      </w:r>
      <w:r>
        <w:t xml:space="preserve">) </w:t>
      </w:r>
      <w:r w:rsidRPr="008A76C1">
        <w:t>share</w:t>
      </w:r>
      <w:r>
        <w:t>s</w:t>
      </w:r>
      <w:r w:rsidR="00077A77">
        <w:t xml:space="preserve"> the same unique genome organiz</w:t>
      </w:r>
      <w:r w:rsidRPr="008A76C1">
        <w:t>ation (3´</w:t>
      </w:r>
      <w:r w:rsidRPr="008A76C1">
        <w:rPr>
          <w:i/>
        </w:rPr>
        <w:t>N-P-M-U1-U2-G-U3-L</w:t>
      </w:r>
      <w:r w:rsidRPr="008A76C1">
        <w:t>5´), comprising five genes encoding the canonical rhabdovirus structural proteins (</w:t>
      </w:r>
      <w:r w:rsidRPr="008A76C1">
        <w:rPr>
          <w:i/>
        </w:rPr>
        <w:t>N</w:t>
      </w:r>
      <w:r w:rsidRPr="008A76C1">
        <w:t xml:space="preserve">, </w:t>
      </w:r>
      <w:r w:rsidRPr="008A76C1">
        <w:rPr>
          <w:i/>
        </w:rPr>
        <w:t>P</w:t>
      </w:r>
      <w:r w:rsidRPr="008A76C1">
        <w:t xml:space="preserve">, </w:t>
      </w:r>
      <w:r w:rsidRPr="008A76C1">
        <w:rPr>
          <w:i/>
        </w:rPr>
        <w:t>M</w:t>
      </w:r>
      <w:r w:rsidRPr="008A76C1">
        <w:t xml:space="preserve">, </w:t>
      </w:r>
      <w:r w:rsidRPr="008A76C1">
        <w:rPr>
          <w:i/>
        </w:rPr>
        <w:t>G</w:t>
      </w:r>
      <w:r>
        <w:t>,</w:t>
      </w:r>
      <w:r w:rsidRPr="008A76C1">
        <w:t xml:space="preserve"> and </w:t>
      </w:r>
      <w:r w:rsidRPr="008A76C1">
        <w:rPr>
          <w:i/>
        </w:rPr>
        <w:t>L</w:t>
      </w:r>
      <w:r w:rsidRPr="008A76C1">
        <w:t>), and three additional genes encoding long ORFs (</w:t>
      </w:r>
      <w:r w:rsidRPr="008A76C1">
        <w:rPr>
          <w:i/>
        </w:rPr>
        <w:t>U1</w:t>
      </w:r>
      <w:r w:rsidRPr="008A76C1">
        <w:t xml:space="preserve">, </w:t>
      </w:r>
      <w:r w:rsidRPr="008A76C1">
        <w:rPr>
          <w:i/>
        </w:rPr>
        <w:t>U2</w:t>
      </w:r>
      <w:r>
        <w:t>,</w:t>
      </w:r>
      <w:r w:rsidRPr="008A76C1">
        <w:t xml:space="preserve"> and </w:t>
      </w:r>
      <w:r w:rsidRPr="008A76C1">
        <w:rPr>
          <w:i/>
        </w:rPr>
        <w:t>U3</w:t>
      </w:r>
      <w:r w:rsidRPr="008A76C1">
        <w:t xml:space="preserve">). ORF </w:t>
      </w:r>
      <w:r w:rsidRPr="008A76C1">
        <w:rPr>
          <w:i/>
        </w:rPr>
        <w:t>U1</w:t>
      </w:r>
      <w:r w:rsidRPr="008A76C1">
        <w:t xml:space="preserve"> and ORF </w:t>
      </w:r>
      <w:r w:rsidRPr="008A76C1">
        <w:rPr>
          <w:i/>
        </w:rPr>
        <w:t>U2</w:t>
      </w:r>
      <w:r w:rsidRPr="008A76C1">
        <w:t xml:space="preserve"> encode small proteins with unknown functions; ORF </w:t>
      </w:r>
      <w:r w:rsidRPr="008A76C1">
        <w:rPr>
          <w:i/>
        </w:rPr>
        <w:t>U3</w:t>
      </w:r>
      <w:r w:rsidRPr="008A76C1">
        <w:t xml:space="preserve"> encodes a small viroporin-like transmembrane protein. Each ORF lies within an independent transcriptional unit bounded by consensus transcription initiation and transcription termination/polyadenylation sequences. </w:t>
      </w:r>
      <w:r>
        <w:t xml:space="preserve">All tibroviruses, including </w:t>
      </w:r>
      <w:r w:rsidR="005507C1">
        <w:t>BHV</w:t>
      </w:r>
      <w:r w:rsidR="00077A77">
        <w:t>,</w:t>
      </w:r>
      <w:r w:rsidRPr="008A76C1">
        <w:t xml:space="preserve"> form a monophyletic clade in a maximum likelihood tree inferred from com</w:t>
      </w:r>
      <w:r>
        <w:t xml:space="preserve">plete L protein sequences of </w:t>
      </w:r>
      <w:r w:rsidR="00077A77">
        <w:t>121</w:t>
      </w:r>
      <w:r>
        <w:t xml:space="preserve"> rhabdoviruses (Figure 1</w:t>
      </w:r>
      <w:r w:rsidR="00077A77">
        <w:t>).</w:t>
      </w:r>
    </w:p>
    <w:p w14:paraId="1EF848EA" w14:textId="7B5D6F0E" w:rsidR="00DB32CF" w:rsidRDefault="00DB32CF" w:rsidP="00077A77">
      <w:pPr>
        <w:spacing w:after="120"/>
        <w:ind w:firstLine="720"/>
      </w:pPr>
    </w:p>
    <w:p w14:paraId="320A811A" w14:textId="77777777" w:rsidR="00736018" w:rsidRDefault="00736018">
      <w:pPr>
        <w:rPr>
          <w:b/>
          <w:sz w:val="20"/>
          <w:szCs w:val="20"/>
        </w:rPr>
      </w:pPr>
      <w:r>
        <w:rPr>
          <w:b/>
          <w:sz w:val="20"/>
          <w:szCs w:val="20"/>
        </w:rPr>
        <w:br w:type="page"/>
      </w:r>
    </w:p>
    <w:p w14:paraId="180D6A80" w14:textId="6D0FEBDD" w:rsidR="00736018" w:rsidRPr="0004033F" w:rsidRDefault="00736018">
      <w:pPr>
        <w:rPr>
          <w:b/>
          <w:sz w:val="20"/>
          <w:szCs w:val="20"/>
        </w:rPr>
      </w:pPr>
      <w:r w:rsidRPr="0004033F">
        <w:rPr>
          <w:b/>
          <w:sz w:val="20"/>
          <w:szCs w:val="20"/>
        </w:rPr>
        <w:lastRenderedPageBreak/>
        <w:t xml:space="preserve">Table 1. Amino acid sequence identities of </w:t>
      </w:r>
      <w:r w:rsidR="0004033F" w:rsidRPr="0004033F">
        <w:rPr>
          <w:b/>
          <w:sz w:val="20"/>
          <w:szCs w:val="20"/>
        </w:rPr>
        <w:t xml:space="preserve">tibrovirus </w:t>
      </w:r>
      <w:r w:rsidRPr="0004033F">
        <w:rPr>
          <w:b/>
          <w:sz w:val="20"/>
          <w:szCs w:val="20"/>
        </w:rPr>
        <w:t>N protein sequence</w:t>
      </w:r>
      <w:r w:rsidR="0004033F" w:rsidRPr="0004033F">
        <w:rPr>
          <w:b/>
          <w:sz w:val="20"/>
          <w:szCs w:val="20"/>
        </w:rPr>
        <w:t>s</w:t>
      </w:r>
      <w:r w:rsidRPr="0004033F">
        <w:rPr>
          <w:b/>
          <w:sz w:val="20"/>
          <w:szCs w:val="20"/>
        </w:rPr>
        <w:t xml:space="preserve"> as determined in Geneious 10.2.3.</w:t>
      </w:r>
    </w:p>
    <w:tbl>
      <w:tblPr>
        <w:tblStyle w:val="TableGrid"/>
        <w:tblW w:w="0" w:type="auto"/>
        <w:tblLook w:val="04A0" w:firstRow="1" w:lastRow="0" w:firstColumn="1" w:lastColumn="0" w:noHBand="0" w:noVBand="1"/>
      </w:tblPr>
      <w:tblGrid>
        <w:gridCol w:w="1076"/>
        <w:gridCol w:w="1076"/>
        <w:gridCol w:w="1075"/>
        <w:gridCol w:w="1075"/>
        <w:gridCol w:w="1075"/>
        <w:gridCol w:w="1075"/>
        <w:gridCol w:w="1075"/>
        <w:gridCol w:w="1075"/>
        <w:gridCol w:w="1075"/>
      </w:tblGrid>
      <w:tr w:rsidR="0004033F" w:rsidRPr="0004033F" w14:paraId="3FF43788" w14:textId="77777777" w:rsidTr="0004033F">
        <w:trPr>
          <w:trHeight w:val="315"/>
        </w:trPr>
        <w:tc>
          <w:tcPr>
            <w:tcW w:w="1076" w:type="dxa"/>
            <w:noWrap/>
            <w:vAlign w:val="bottom"/>
            <w:hideMark/>
          </w:tcPr>
          <w:p w14:paraId="5241BD61" w14:textId="4D1EDF80" w:rsidR="0004033F" w:rsidRPr="0004033F" w:rsidRDefault="0004033F" w:rsidP="0004033F">
            <w:pPr>
              <w:rPr>
                <w:sz w:val="20"/>
                <w:szCs w:val="20"/>
              </w:rPr>
            </w:pPr>
            <w:r w:rsidRPr="0004033F">
              <w:rPr>
                <w:color w:val="000000"/>
                <w:sz w:val="20"/>
                <w:szCs w:val="20"/>
              </w:rPr>
              <w:t> </w:t>
            </w:r>
          </w:p>
        </w:tc>
        <w:tc>
          <w:tcPr>
            <w:tcW w:w="1076" w:type="dxa"/>
            <w:noWrap/>
            <w:vAlign w:val="bottom"/>
            <w:hideMark/>
          </w:tcPr>
          <w:p w14:paraId="3F0B14EB" w14:textId="6DA2133C" w:rsidR="0004033F" w:rsidRPr="0004033F" w:rsidRDefault="0004033F" w:rsidP="0004033F">
            <w:pPr>
              <w:rPr>
                <w:sz w:val="20"/>
                <w:szCs w:val="20"/>
              </w:rPr>
            </w:pPr>
            <w:r w:rsidRPr="0004033F">
              <w:rPr>
                <w:color w:val="000000"/>
                <w:sz w:val="20"/>
                <w:szCs w:val="20"/>
              </w:rPr>
              <w:t>TIBV</w:t>
            </w:r>
          </w:p>
        </w:tc>
        <w:tc>
          <w:tcPr>
            <w:tcW w:w="1075" w:type="dxa"/>
            <w:noWrap/>
            <w:vAlign w:val="bottom"/>
            <w:hideMark/>
          </w:tcPr>
          <w:p w14:paraId="272E5DAE" w14:textId="1D6AF52B" w:rsidR="0004033F" w:rsidRPr="0004033F" w:rsidRDefault="0004033F" w:rsidP="0004033F">
            <w:pPr>
              <w:rPr>
                <w:sz w:val="20"/>
                <w:szCs w:val="20"/>
              </w:rPr>
            </w:pPr>
            <w:r w:rsidRPr="0004033F">
              <w:rPr>
                <w:color w:val="000000"/>
                <w:sz w:val="20"/>
                <w:szCs w:val="20"/>
              </w:rPr>
              <w:t>BAV</w:t>
            </w:r>
          </w:p>
        </w:tc>
        <w:tc>
          <w:tcPr>
            <w:tcW w:w="1075" w:type="dxa"/>
            <w:noWrap/>
            <w:vAlign w:val="bottom"/>
            <w:hideMark/>
          </w:tcPr>
          <w:p w14:paraId="38CC9BAD" w14:textId="2563C77A" w:rsidR="0004033F" w:rsidRPr="0004033F" w:rsidRDefault="0004033F" w:rsidP="0004033F">
            <w:pPr>
              <w:rPr>
                <w:sz w:val="20"/>
                <w:szCs w:val="20"/>
              </w:rPr>
            </w:pPr>
            <w:r w:rsidRPr="0004033F">
              <w:rPr>
                <w:color w:val="000000"/>
                <w:sz w:val="20"/>
                <w:szCs w:val="20"/>
              </w:rPr>
              <w:t>BHV</w:t>
            </w:r>
          </w:p>
        </w:tc>
        <w:tc>
          <w:tcPr>
            <w:tcW w:w="1075" w:type="dxa"/>
            <w:noWrap/>
            <w:vAlign w:val="bottom"/>
            <w:hideMark/>
          </w:tcPr>
          <w:p w14:paraId="1C7D0FEB" w14:textId="10B0E697" w:rsidR="0004033F" w:rsidRPr="0004033F" w:rsidRDefault="0004033F" w:rsidP="0004033F">
            <w:pPr>
              <w:rPr>
                <w:sz w:val="20"/>
                <w:szCs w:val="20"/>
              </w:rPr>
            </w:pPr>
            <w:r w:rsidRPr="0004033F">
              <w:rPr>
                <w:color w:val="000000"/>
                <w:sz w:val="20"/>
                <w:szCs w:val="20"/>
              </w:rPr>
              <w:t>SWBV</w:t>
            </w:r>
          </w:p>
        </w:tc>
        <w:tc>
          <w:tcPr>
            <w:tcW w:w="1075" w:type="dxa"/>
            <w:noWrap/>
            <w:vAlign w:val="bottom"/>
            <w:hideMark/>
          </w:tcPr>
          <w:p w14:paraId="04D87C92" w14:textId="04BAA150" w:rsidR="0004033F" w:rsidRPr="0004033F" w:rsidRDefault="0004033F" w:rsidP="0004033F">
            <w:pPr>
              <w:rPr>
                <w:sz w:val="20"/>
                <w:szCs w:val="20"/>
              </w:rPr>
            </w:pPr>
            <w:r w:rsidRPr="0004033F">
              <w:rPr>
                <w:color w:val="000000"/>
                <w:sz w:val="20"/>
                <w:szCs w:val="20"/>
              </w:rPr>
              <w:t>CPV</w:t>
            </w:r>
          </w:p>
        </w:tc>
        <w:tc>
          <w:tcPr>
            <w:tcW w:w="1075" w:type="dxa"/>
            <w:noWrap/>
            <w:vAlign w:val="bottom"/>
            <w:hideMark/>
          </w:tcPr>
          <w:p w14:paraId="002FAA7C" w14:textId="2544C149" w:rsidR="0004033F" w:rsidRPr="0004033F" w:rsidRDefault="0004033F" w:rsidP="0004033F">
            <w:pPr>
              <w:rPr>
                <w:sz w:val="20"/>
                <w:szCs w:val="20"/>
              </w:rPr>
            </w:pPr>
            <w:r w:rsidRPr="0004033F">
              <w:rPr>
                <w:color w:val="000000"/>
                <w:sz w:val="20"/>
                <w:szCs w:val="20"/>
              </w:rPr>
              <w:t>EKV</w:t>
            </w:r>
            <w:r>
              <w:rPr>
                <w:color w:val="000000"/>
                <w:sz w:val="20"/>
                <w:szCs w:val="20"/>
              </w:rPr>
              <w:t>-</w:t>
            </w:r>
            <w:r w:rsidRPr="0004033F">
              <w:rPr>
                <w:color w:val="000000"/>
                <w:sz w:val="20"/>
                <w:szCs w:val="20"/>
              </w:rPr>
              <w:t>1</w:t>
            </w:r>
          </w:p>
        </w:tc>
        <w:tc>
          <w:tcPr>
            <w:tcW w:w="1075" w:type="dxa"/>
            <w:noWrap/>
            <w:vAlign w:val="bottom"/>
            <w:hideMark/>
          </w:tcPr>
          <w:p w14:paraId="3FAC086D" w14:textId="63AEE150" w:rsidR="0004033F" w:rsidRPr="0004033F" w:rsidRDefault="0004033F" w:rsidP="0004033F">
            <w:pPr>
              <w:rPr>
                <w:sz w:val="20"/>
                <w:szCs w:val="20"/>
              </w:rPr>
            </w:pPr>
            <w:r w:rsidRPr="0004033F">
              <w:rPr>
                <w:color w:val="000000"/>
                <w:sz w:val="20"/>
                <w:szCs w:val="20"/>
              </w:rPr>
              <w:t>EKV</w:t>
            </w:r>
            <w:r>
              <w:rPr>
                <w:color w:val="000000"/>
                <w:sz w:val="20"/>
                <w:szCs w:val="20"/>
              </w:rPr>
              <w:t>-</w:t>
            </w:r>
            <w:r w:rsidRPr="0004033F">
              <w:rPr>
                <w:color w:val="000000"/>
                <w:sz w:val="20"/>
                <w:szCs w:val="20"/>
              </w:rPr>
              <w:t>2</w:t>
            </w:r>
          </w:p>
        </w:tc>
        <w:tc>
          <w:tcPr>
            <w:tcW w:w="1075" w:type="dxa"/>
            <w:noWrap/>
            <w:vAlign w:val="bottom"/>
            <w:hideMark/>
          </w:tcPr>
          <w:p w14:paraId="45CC0BF9" w14:textId="75E752E2" w:rsidR="0004033F" w:rsidRPr="0004033F" w:rsidRDefault="0004033F" w:rsidP="0004033F">
            <w:pPr>
              <w:rPr>
                <w:sz w:val="20"/>
                <w:szCs w:val="20"/>
              </w:rPr>
            </w:pPr>
            <w:r w:rsidRPr="0004033F">
              <w:rPr>
                <w:color w:val="000000"/>
                <w:sz w:val="20"/>
                <w:szCs w:val="20"/>
              </w:rPr>
              <w:t>BASV</w:t>
            </w:r>
          </w:p>
        </w:tc>
      </w:tr>
      <w:tr w:rsidR="0004033F" w:rsidRPr="0004033F" w14:paraId="52F4AD2A" w14:textId="77777777" w:rsidTr="0004033F">
        <w:trPr>
          <w:trHeight w:val="315"/>
        </w:trPr>
        <w:tc>
          <w:tcPr>
            <w:tcW w:w="1076" w:type="dxa"/>
            <w:noWrap/>
            <w:vAlign w:val="bottom"/>
            <w:hideMark/>
          </w:tcPr>
          <w:p w14:paraId="170341B6" w14:textId="75EC7BA6" w:rsidR="0004033F" w:rsidRPr="0004033F" w:rsidRDefault="0004033F" w:rsidP="0004033F">
            <w:pPr>
              <w:rPr>
                <w:sz w:val="20"/>
                <w:szCs w:val="20"/>
              </w:rPr>
            </w:pPr>
            <w:r w:rsidRPr="0004033F">
              <w:rPr>
                <w:color w:val="000000"/>
                <w:sz w:val="20"/>
                <w:szCs w:val="20"/>
              </w:rPr>
              <w:t>TIBV</w:t>
            </w:r>
          </w:p>
        </w:tc>
        <w:tc>
          <w:tcPr>
            <w:tcW w:w="1076" w:type="dxa"/>
            <w:noWrap/>
            <w:vAlign w:val="bottom"/>
            <w:hideMark/>
          </w:tcPr>
          <w:p w14:paraId="72FCACC5" w14:textId="08EEE7F1" w:rsidR="0004033F" w:rsidRPr="0004033F" w:rsidRDefault="0004033F" w:rsidP="0004033F">
            <w:pPr>
              <w:rPr>
                <w:sz w:val="20"/>
                <w:szCs w:val="20"/>
              </w:rPr>
            </w:pPr>
            <w:r w:rsidRPr="0004033F">
              <w:rPr>
                <w:color w:val="000000"/>
                <w:sz w:val="20"/>
                <w:szCs w:val="20"/>
              </w:rPr>
              <w:t>100</w:t>
            </w:r>
          </w:p>
        </w:tc>
        <w:tc>
          <w:tcPr>
            <w:tcW w:w="1075" w:type="dxa"/>
            <w:noWrap/>
            <w:vAlign w:val="bottom"/>
            <w:hideMark/>
          </w:tcPr>
          <w:p w14:paraId="627CF09C" w14:textId="7761508C" w:rsidR="0004033F" w:rsidRPr="0004033F" w:rsidRDefault="0004033F" w:rsidP="0004033F">
            <w:pPr>
              <w:rPr>
                <w:sz w:val="20"/>
                <w:szCs w:val="20"/>
              </w:rPr>
            </w:pPr>
            <w:r w:rsidRPr="0004033F">
              <w:rPr>
                <w:color w:val="000000"/>
                <w:sz w:val="20"/>
                <w:szCs w:val="20"/>
              </w:rPr>
              <w:t> </w:t>
            </w:r>
          </w:p>
        </w:tc>
        <w:tc>
          <w:tcPr>
            <w:tcW w:w="1075" w:type="dxa"/>
            <w:noWrap/>
            <w:vAlign w:val="bottom"/>
            <w:hideMark/>
          </w:tcPr>
          <w:p w14:paraId="6E277200" w14:textId="469405CD" w:rsidR="0004033F" w:rsidRPr="0004033F" w:rsidRDefault="0004033F" w:rsidP="0004033F">
            <w:pPr>
              <w:rPr>
                <w:sz w:val="20"/>
                <w:szCs w:val="20"/>
              </w:rPr>
            </w:pPr>
            <w:r w:rsidRPr="0004033F">
              <w:rPr>
                <w:color w:val="000000"/>
                <w:sz w:val="20"/>
                <w:szCs w:val="20"/>
              </w:rPr>
              <w:t> </w:t>
            </w:r>
          </w:p>
        </w:tc>
        <w:tc>
          <w:tcPr>
            <w:tcW w:w="1075" w:type="dxa"/>
            <w:noWrap/>
            <w:vAlign w:val="bottom"/>
            <w:hideMark/>
          </w:tcPr>
          <w:p w14:paraId="7A4D6853" w14:textId="5F453CF0" w:rsidR="0004033F" w:rsidRPr="0004033F" w:rsidRDefault="0004033F" w:rsidP="0004033F">
            <w:pPr>
              <w:rPr>
                <w:sz w:val="20"/>
                <w:szCs w:val="20"/>
              </w:rPr>
            </w:pPr>
            <w:r w:rsidRPr="0004033F">
              <w:rPr>
                <w:color w:val="000000"/>
                <w:sz w:val="20"/>
                <w:szCs w:val="20"/>
              </w:rPr>
              <w:t> </w:t>
            </w:r>
          </w:p>
        </w:tc>
        <w:tc>
          <w:tcPr>
            <w:tcW w:w="1075" w:type="dxa"/>
            <w:noWrap/>
            <w:vAlign w:val="bottom"/>
            <w:hideMark/>
          </w:tcPr>
          <w:p w14:paraId="06A841F3" w14:textId="6D65F9F3" w:rsidR="0004033F" w:rsidRPr="0004033F" w:rsidRDefault="0004033F" w:rsidP="0004033F">
            <w:pPr>
              <w:rPr>
                <w:sz w:val="20"/>
                <w:szCs w:val="20"/>
              </w:rPr>
            </w:pPr>
            <w:r w:rsidRPr="0004033F">
              <w:rPr>
                <w:color w:val="000000"/>
                <w:sz w:val="20"/>
                <w:szCs w:val="20"/>
              </w:rPr>
              <w:t> </w:t>
            </w:r>
          </w:p>
        </w:tc>
        <w:tc>
          <w:tcPr>
            <w:tcW w:w="1075" w:type="dxa"/>
            <w:noWrap/>
            <w:vAlign w:val="bottom"/>
            <w:hideMark/>
          </w:tcPr>
          <w:p w14:paraId="7FF6BC40" w14:textId="43336BC8" w:rsidR="0004033F" w:rsidRPr="0004033F" w:rsidRDefault="0004033F" w:rsidP="0004033F">
            <w:pPr>
              <w:rPr>
                <w:sz w:val="20"/>
                <w:szCs w:val="20"/>
              </w:rPr>
            </w:pPr>
            <w:r w:rsidRPr="0004033F">
              <w:rPr>
                <w:color w:val="000000"/>
                <w:sz w:val="20"/>
                <w:szCs w:val="20"/>
              </w:rPr>
              <w:t> </w:t>
            </w:r>
          </w:p>
        </w:tc>
        <w:tc>
          <w:tcPr>
            <w:tcW w:w="1075" w:type="dxa"/>
            <w:noWrap/>
            <w:vAlign w:val="bottom"/>
            <w:hideMark/>
          </w:tcPr>
          <w:p w14:paraId="37A0CD33" w14:textId="616C3B80" w:rsidR="0004033F" w:rsidRPr="0004033F" w:rsidRDefault="0004033F" w:rsidP="0004033F">
            <w:pPr>
              <w:rPr>
                <w:sz w:val="20"/>
                <w:szCs w:val="20"/>
              </w:rPr>
            </w:pPr>
            <w:r w:rsidRPr="0004033F">
              <w:rPr>
                <w:color w:val="000000"/>
                <w:sz w:val="20"/>
                <w:szCs w:val="20"/>
              </w:rPr>
              <w:t> </w:t>
            </w:r>
          </w:p>
        </w:tc>
        <w:tc>
          <w:tcPr>
            <w:tcW w:w="1075" w:type="dxa"/>
            <w:noWrap/>
            <w:vAlign w:val="bottom"/>
            <w:hideMark/>
          </w:tcPr>
          <w:p w14:paraId="2EECF160" w14:textId="2278CAA4" w:rsidR="0004033F" w:rsidRPr="0004033F" w:rsidRDefault="0004033F" w:rsidP="0004033F">
            <w:pPr>
              <w:rPr>
                <w:sz w:val="20"/>
                <w:szCs w:val="20"/>
              </w:rPr>
            </w:pPr>
            <w:r w:rsidRPr="0004033F">
              <w:rPr>
                <w:color w:val="000000"/>
                <w:sz w:val="20"/>
                <w:szCs w:val="20"/>
              </w:rPr>
              <w:t> </w:t>
            </w:r>
          </w:p>
        </w:tc>
      </w:tr>
      <w:tr w:rsidR="0004033F" w:rsidRPr="0004033F" w14:paraId="7CBF448D" w14:textId="77777777" w:rsidTr="0004033F">
        <w:trPr>
          <w:trHeight w:val="315"/>
        </w:trPr>
        <w:tc>
          <w:tcPr>
            <w:tcW w:w="1076" w:type="dxa"/>
            <w:noWrap/>
            <w:vAlign w:val="bottom"/>
            <w:hideMark/>
          </w:tcPr>
          <w:p w14:paraId="0FA4146E" w14:textId="75F3BA8C" w:rsidR="0004033F" w:rsidRPr="0004033F" w:rsidRDefault="0004033F" w:rsidP="0004033F">
            <w:pPr>
              <w:rPr>
                <w:sz w:val="20"/>
                <w:szCs w:val="20"/>
              </w:rPr>
            </w:pPr>
            <w:r w:rsidRPr="0004033F">
              <w:rPr>
                <w:color w:val="000000"/>
                <w:sz w:val="20"/>
                <w:szCs w:val="20"/>
              </w:rPr>
              <w:t>BAV</w:t>
            </w:r>
          </w:p>
        </w:tc>
        <w:tc>
          <w:tcPr>
            <w:tcW w:w="1076" w:type="dxa"/>
            <w:noWrap/>
            <w:vAlign w:val="bottom"/>
            <w:hideMark/>
          </w:tcPr>
          <w:p w14:paraId="24B07037" w14:textId="50BADA34" w:rsidR="0004033F" w:rsidRPr="0004033F" w:rsidRDefault="0004033F" w:rsidP="0004033F">
            <w:pPr>
              <w:rPr>
                <w:sz w:val="20"/>
                <w:szCs w:val="20"/>
              </w:rPr>
            </w:pPr>
            <w:r w:rsidRPr="0004033F">
              <w:rPr>
                <w:color w:val="000000"/>
                <w:sz w:val="20"/>
                <w:szCs w:val="20"/>
              </w:rPr>
              <w:t>99.1</w:t>
            </w:r>
          </w:p>
        </w:tc>
        <w:tc>
          <w:tcPr>
            <w:tcW w:w="1075" w:type="dxa"/>
            <w:noWrap/>
            <w:vAlign w:val="bottom"/>
            <w:hideMark/>
          </w:tcPr>
          <w:p w14:paraId="1FCDC6EC" w14:textId="7C460582" w:rsidR="0004033F" w:rsidRPr="0004033F" w:rsidRDefault="0004033F" w:rsidP="0004033F">
            <w:pPr>
              <w:rPr>
                <w:sz w:val="20"/>
                <w:szCs w:val="20"/>
              </w:rPr>
            </w:pPr>
            <w:r w:rsidRPr="0004033F">
              <w:rPr>
                <w:color w:val="000000"/>
                <w:sz w:val="20"/>
                <w:szCs w:val="20"/>
              </w:rPr>
              <w:t>100</w:t>
            </w:r>
          </w:p>
        </w:tc>
        <w:tc>
          <w:tcPr>
            <w:tcW w:w="1075" w:type="dxa"/>
            <w:noWrap/>
            <w:vAlign w:val="bottom"/>
            <w:hideMark/>
          </w:tcPr>
          <w:p w14:paraId="34551684" w14:textId="48FEFC76" w:rsidR="0004033F" w:rsidRPr="0004033F" w:rsidRDefault="0004033F" w:rsidP="0004033F">
            <w:pPr>
              <w:rPr>
                <w:sz w:val="20"/>
                <w:szCs w:val="20"/>
              </w:rPr>
            </w:pPr>
            <w:r w:rsidRPr="0004033F">
              <w:rPr>
                <w:color w:val="000000"/>
                <w:sz w:val="20"/>
                <w:szCs w:val="20"/>
              </w:rPr>
              <w:t> </w:t>
            </w:r>
          </w:p>
        </w:tc>
        <w:tc>
          <w:tcPr>
            <w:tcW w:w="1075" w:type="dxa"/>
            <w:noWrap/>
            <w:vAlign w:val="bottom"/>
            <w:hideMark/>
          </w:tcPr>
          <w:p w14:paraId="3F4D8412" w14:textId="1355C26B" w:rsidR="0004033F" w:rsidRPr="0004033F" w:rsidRDefault="0004033F" w:rsidP="0004033F">
            <w:pPr>
              <w:rPr>
                <w:sz w:val="20"/>
                <w:szCs w:val="20"/>
              </w:rPr>
            </w:pPr>
            <w:r w:rsidRPr="0004033F">
              <w:rPr>
                <w:color w:val="000000"/>
                <w:sz w:val="20"/>
                <w:szCs w:val="20"/>
              </w:rPr>
              <w:t> </w:t>
            </w:r>
          </w:p>
        </w:tc>
        <w:tc>
          <w:tcPr>
            <w:tcW w:w="1075" w:type="dxa"/>
            <w:noWrap/>
            <w:vAlign w:val="bottom"/>
            <w:hideMark/>
          </w:tcPr>
          <w:p w14:paraId="1BD07045" w14:textId="7626F8CF" w:rsidR="0004033F" w:rsidRPr="0004033F" w:rsidRDefault="0004033F" w:rsidP="0004033F">
            <w:pPr>
              <w:rPr>
                <w:sz w:val="20"/>
                <w:szCs w:val="20"/>
              </w:rPr>
            </w:pPr>
            <w:r w:rsidRPr="0004033F">
              <w:rPr>
                <w:color w:val="000000"/>
                <w:sz w:val="20"/>
                <w:szCs w:val="20"/>
              </w:rPr>
              <w:t> </w:t>
            </w:r>
          </w:p>
        </w:tc>
        <w:tc>
          <w:tcPr>
            <w:tcW w:w="1075" w:type="dxa"/>
            <w:noWrap/>
            <w:vAlign w:val="bottom"/>
            <w:hideMark/>
          </w:tcPr>
          <w:p w14:paraId="266FD6B8" w14:textId="14B6C819" w:rsidR="0004033F" w:rsidRPr="0004033F" w:rsidRDefault="0004033F" w:rsidP="0004033F">
            <w:pPr>
              <w:rPr>
                <w:sz w:val="20"/>
                <w:szCs w:val="20"/>
              </w:rPr>
            </w:pPr>
            <w:r w:rsidRPr="0004033F">
              <w:rPr>
                <w:color w:val="000000"/>
                <w:sz w:val="20"/>
                <w:szCs w:val="20"/>
              </w:rPr>
              <w:t> </w:t>
            </w:r>
          </w:p>
        </w:tc>
        <w:tc>
          <w:tcPr>
            <w:tcW w:w="1075" w:type="dxa"/>
            <w:noWrap/>
            <w:vAlign w:val="bottom"/>
            <w:hideMark/>
          </w:tcPr>
          <w:p w14:paraId="2B8D078B" w14:textId="50CAB3BF" w:rsidR="0004033F" w:rsidRPr="0004033F" w:rsidRDefault="0004033F" w:rsidP="0004033F">
            <w:pPr>
              <w:rPr>
                <w:sz w:val="20"/>
                <w:szCs w:val="20"/>
              </w:rPr>
            </w:pPr>
            <w:r w:rsidRPr="0004033F">
              <w:rPr>
                <w:color w:val="000000"/>
                <w:sz w:val="20"/>
                <w:szCs w:val="20"/>
              </w:rPr>
              <w:t> </w:t>
            </w:r>
          </w:p>
        </w:tc>
        <w:tc>
          <w:tcPr>
            <w:tcW w:w="1075" w:type="dxa"/>
            <w:noWrap/>
            <w:vAlign w:val="bottom"/>
            <w:hideMark/>
          </w:tcPr>
          <w:p w14:paraId="5C6729E6" w14:textId="4469D73B" w:rsidR="0004033F" w:rsidRPr="0004033F" w:rsidRDefault="0004033F" w:rsidP="0004033F">
            <w:pPr>
              <w:rPr>
                <w:sz w:val="20"/>
                <w:szCs w:val="20"/>
              </w:rPr>
            </w:pPr>
            <w:r w:rsidRPr="0004033F">
              <w:rPr>
                <w:color w:val="000000"/>
                <w:sz w:val="20"/>
                <w:szCs w:val="20"/>
              </w:rPr>
              <w:t> </w:t>
            </w:r>
          </w:p>
        </w:tc>
      </w:tr>
      <w:tr w:rsidR="0004033F" w:rsidRPr="0004033F" w14:paraId="06199589" w14:textId="77777777" w:rsidTr="0004033F">
        <w:trPr>
          <w:trHeight w:val="315"/>
        </w:trPr>
        <w:tc>
          <w:tcPr>
            <w:tcW w:w="1076" w:type="dxa"/>
            <w:noWrap/>
            <w:vAlign w:val="bottom"/>
            <w:hideMark/>
          </w:tcPr>
          <w:p w14:paraId="50B5D9EC" w14:textId="7088EEC7" w:rsidR="0004033F" w:rsidRPr="0004033F" w:rsidRDefault="0004033F" w:rsidP="0004033F">
            <w:pPr>
              <w:rPr>
                <w:sz w:val="20"/>
                <w:szCs w:val="20"/>
              </w:rPr>
            </w:pPr>
            <w:r w:rsidRPr="0004033F">
              <w:rPr>
                <w:color w:val="000000"/>
                <w:sz w:val="20"/>
                <w:szCs w:val="20"/>
              </w:rPr>
              <w:t>BHV</w:t>
            </w:r>
          </w:p>
        </w:tc>
        <w:tc>
          <w:tcPr>
            <w:tcW w:w="1076" w:type="dxa"/>
            <w:noWrap/>
            <w:vAlign w:val="bottom"/>
            <w:hideMark/>
          </w:tcPr>
          <w:p w14:paraId="6B760095" w14:textId="56FC855F" w:rsidR="0004033F" w:rsidRPr="0004033F" w:rsidRDefault="0004033F" w:rsidP="0004033F">
            <w:pPr>
              <w:rPr>
                <w:sz w:val="20"/>
                <w:szCs w:val="20"/>
              </w:rPr>
            </w:pPr>
            <w:r w:rsidRPr="0004033F">
              <w:rPr>
                <w:color w:val="000000"/>
                <w:sz w:val="20"/>
                <w:szCs w:val="20"/>
              </w:rPr>
              <w:t>94.4</w:t>
            </w:r>
          </w:p>
        </w:tc>
        <w:tc>
          <w:tcPr>
            <w:tcW w:w="1075" w:type="dxa"/>
            <w:noWrap/>
            <w:vAlign w:val="bottom"/>
            <w:hideMark/>
          </w:tcPr>
          <w:p w14:paraId="290149C5" w14:textId="71B5B651" w:rsidR="0004033F" w:rsidRPr="0004033F" w:rsidRDefault="0004033F" w:rsidP="0004033F">
            <w:pPr>
              <w:rPr>
                <w:sz w:val="20"/>
                <w:szCs w:val="20"/>
              </w:rPr>
            </w:pPr>
            <w:r w:rsidRPr="0004033F">
              <w:rPr>
                <w:color w:val="000000"/>
                <w:sz w:val="20"/>
                <w:szCs w:val="20"/>
              </w:rPr>
              <w:t>94.6</w:t>
            </w:r>
          </w:p>
        </w:tc>
        <w:tc>
          <w:tcPr>
            <w:tcW w:w="1075" w:type="dxa"/>
            <w:noWrap/>
            <w:vAlign w:val="bottom"/>
            <w:hideMark/>
          </w:tcPr>
          <w:p w14:paraId="3177C4F0" w14:textId="66CD774E" w:rsidR="0004033F" w:rsidRPr="0004033F" w:rsidRDefault="0004033F" w:rsidP="0004033F">
            <w:pPr>
              <w:rPr>
                <w:sz w:val="20"/>
                <w:szCs w:val="20"/>
              </w:rPr>
            </w:pPr>
            <w:r w:rsidRPr="0004033F">
              <w:rPr>
                <w:color w:val="000000"/>
                <w:sz w:val="20"/>
                <w:szCs w:val="20"/>
              </w:rPr>
              <w:t>100</w:t>
            </w:r>
          </w:p>
        </w:tc>
        <w:tc>
          <w:tcPr>
            <w:tcW w:w="1075" w:type="dxa"/>
            <w:noWrap/>
            <w:vAlign w:val="bottom"/>
            <w:hideMark/>
          </w:tcPr>
          <w:p w14:paraId="5ACAF1C5" w14:textId="4CFF8EF8" w:rsidR="0004033F" w:rsidRPr="0004033F" w:rsidRDefault="0004033F" w:rsidP="0004033F">
            <w:pPr>
              <w:rPr>
                <w:sz w:val="20"/>
                <w:szCs w:val="20"/>
              </w:rPr>
            </w:pPr>
            <w:r w:rsidRPr="0004033F">
              <w:rPr>
                <w:color w:val="000000"/>
                <w:sz w:val="20"/>
                <w:szCs w:val="20"/>
              </w:rPr>
              <w:t> </w:t>
            </w:r>
          </w:p>
        </w:tc>
        <w:tc>
          <w:tcPr>
            <w:tcW w:w="1075" w:type="dxa"/>
            <w:noWrap/>
            <w:vAlign w:val="bottom"/>
            <w:hideMark/>
          </w:tcPr>
          <w:p w14:paraId="36A9F074" w14:textId="7DB15BD1" w:rsidR="0004033F" w:rsidRPr="0004033F" w:rsidRDefault="0004033F" w:rsidP="0004033F">
            <w:pPr>
              <w:rPr>
                <w:sz w:val="20"/>
                <w:szCs w:val="20"/>
              </w:rPr>
            </w:pPr>
            <w:r w:rsidRPr="0004033F">
              <w:rPr>
                <w:color w:val="000000"/>
                <w:sz w:val="20"/>
                <w:szCs w:val="20"/>
              </w:rPr>
              <w:t> </w:t>
            </w:r>
          </w:p>
        </w:tc>
        <w:tc>
          <w:tcPr>
            <w:tcW w:w="1075" w:type="dxa"/>
            <w:noWrap/>
            <w:vAlign w:val="bottom"/>
            <w:hideMark/>
          </w:tcPr>
          <w:p w14:paraId="307A5C79" w14:textId="13C717AB" w:rsidR="0004033F" w:rsidRPr="0004033F" w:rsidRDefault="0004033F" w:rsidP="0004033F">
            <w:pPr>
              <w:rPr>
                <w:sz w:val="20"/>
                <w:szCs w:val="20"/>
              </w:rPr>
            </w:pPr>
            <w:r w:rsidRPr="0004033F">
              <w:rPr>
                <w:color w:val="000000"/>
                <w:sz w:val="20"/>
                <w:szCs w:val="20"/>
              </w:rPr>
              <w:t> </w:t>
            </w:r>
          </w:p>
        </w:tc>
        <w:tc>
          <w:tcPr>
            <w:tcW w:w="1075" w:type="dxa"/>
            <w:noWrap/>
            <w:vAlign w:val="bottom"/>
            <w:hideMark/>
          </w:tcPr>
          <w:p w14:paraId="613A48A0" w14:textId="5340E5AD" w:rsidR="0004033F" w:rsidRPr="0004033F" w:rsidRDefault="0004033F" w:rsidP="0004033F">
            <w:pPr>
              <w:rPr>
                <w:sz w:val="20"/>
                <w:szCs w:val="20"/>
              </w:rPr>
            </w:pPr>
            <w:r w:rsidRPr="0004033F">
              <w:rPr>
                <w:color w:val="000000"/>
                <w:sz w:val="20"/>
                <w:szCs w:val="20"/>
              </w:rPr>
              <w:t> </w:t>
            </w:r>
          </w:p>
        </w:tc>
        <w:tc>
          <w:tcPr>
            <w:tcW w:w="1075" w:type="dxa"/>
            <w:noWrap/>
            <w:vAlign w:val="bottom"/>
            <w:hideMark/>
          </w:tcPr>
          <w:p w14:paraId="14010495" w14:textId="5F4662D6" w:rsidR="0004033F" w:rsidRPr="0004033F" w:rsidRDefault="0004033F" w:rsidP="0004033F">
            <w:pPr>
              <w:rPr>
                <w:sz w:val="20"/>
                <w:szCs w:val="20"/>
              </w:rPr>
            </w:pPr>
            <w:r w:rsidRPr="0004033F">
              <w:rPr>
                <w:color w:val="000000"/>
                <w:sz w:val="20"/>
                <w:szCs w:val="20"/>
              </w:rPr>
              <w:t> </w:t>
            </w:r>
          </w:p>
        </w:tc>
      </w:tr>
      <w:tr w:rsidR="0004033F" w:rsidRPr="0004033F" w14:paraId="023FAD85" w14:textId="77777777" w:rsidTr="0004033F">
        <w:trPr>
          <w:trHeight w:val="315"/>
        </w:trPr>
        <w:tc>
          <w:tcPr>
            <w:tcW w:w="1076" w:type="dxa"/>
            <w:noWrap/>
            <w:vAlign w:val="bottom"/>
            <w:hideMark/>
          </w:tcPr>
          <w:p w14:paraId="1E8A4E3C" w14:textId="09A2A368" w:rsidR="0004033F" w:rsidRPr="0004033F" w:rsidRDefault="0004033F" w:rsidP="0004033F">
            <w:pPr>
              <w:rPr>
                <w:sz w:val="20"/>
                <w:szCs w:val="20"/>
              </w:rPr>
            </w:pPr>
            <w:r w:rsidRPr="0004033F">
              <w:rPr>
                <w:color w:val="000000"/>
                <w:sz w:val="20"/>
                <w:szCs w:val="20"/>
              </w:rPr>
              <w:t>SWBV</w:t>
            </w:r>
          </w:p>
        </w:tc>
        <w:tc>
          <w:tcPr>
            <w:tcW w:w="1076" w:type="dxa"/>
            <w:noWrap/>
            <w:vAlign w:val="bottom"/>
            <w:hideMark/>
          </w:tcPr>
          <w:p w14:paraId="3AE826BE" w14:textId="66843DEC" w:rsidR="0004033F" w:rsidRPr="0004033F" w:rsidRDefault="0004033F" w:rsidP="0004033F">
            <w:pPr>
              <w:rPr>
                <w:sz w:val="20"/>
                <w:szCs w:val="20"/>
              </w:rPr>
            </w:pPr>
            <w:r w:rsidRPr="0004033F">
              <w:rPr>
                <w:color w:val="000000"/>
                <w:sz w:val="20"/>
                <w:szCs w:val="20"/>
              </w:rPr>
              <w:t>75.2</w:t>
            </w:r>
          </w:p>
        </w:tc>
        <w:tc>
          <w:tcPr>
            <w:tcW w:w="1075" w:type="dxa"/>
            <w:noWrap/>
            <w:vAlign w:val="bottom"/>
            <w:hideMark/>
          </w:tcPr>
          <w:p w14:paraId="772323C8" w14:textId="4AA43FE9" w:rsidR="0004033F" w:rsidRPr="0004033F" w:rsidRDefault="0004033F" w:rsidP="0004033F">
            <w:pPr>
              <w:rPr>
                <w:sz w:val="20"/>
                <w:szCs w:val="20"/>
              </w:rPr>
            </w:pPr>
            <w:r w:rsidRPr="0004033F">
              <w:rPr>
                <w:color w:val="000000"/>
                <w:sz w:val="20"/>
                <w:szCs w:val="20"/>
              </w:rPr>
              <w:t>75.9</w:t>
            </w:r>
          </w:p>
        </w:tc>
        <w:tc>
          <w:tcPr>
            <w:tcW w:w="1075" w:type="dxa"/>
            <w:noWrap/>
            <w:vAlign w:val="bottom"/>
            <w:hideMark/>
          </w:tcPr>
          <w:p w14:paraId="1A20AAEA" w14:textId="73F57017" w:rsidR="0004033F" w:rsidRPr="0004033F" w:rsidRDefault="0004033F" w:rsidP="0004033F">
            <w:pPr>
              <w:rPr>
                <w:sz w:val="20"/>
                <w:szCs w:val="20"/>
              </w:rPr>
            </w:pPr>
            <w:r w:rsidRPr="0004033F">
              <w:rPr>
                <w:color w:val="000000"/>
                <w:sz w:val="20"/>
                <w:szCs w:val="20"/>
              </w:rPr>
              <w:t>74.8</w:t>
            </w:r>
          </w:p>
        </w:tc>
        <w:tc>
          <w:tcPr>
            <w:tcW w:w="1075" w:type="dxa"/>
            <w:noWrap/>
            <w:vAlign w:val="bottom"/>
            <w:hideMark/>
          </w:tcPr>
          <w:p w14:paraId="7249A534" w14:textId="30C2D5D1" w:rsidR="0004033F" w:rsidRPr="0004033F" w:rsidRDefault="0004033F" w:rsidP="0004033F">
            <w:pPr>
              <w:rPr>
                <w:sz w:val="20"/>
                <w:szCs w:val="20"/>
              </w:rPr>
            </w:pPr>
            <w:r w:rsidRPr="0004033F">
              <w:rPr>
                <w:color w:val="000000"/>
                <w:sz w:val="20"/>
                <w:szCs w:val="20"/>
              </w:rPr>
              <w:t>100</w:t>
            </w:r>
          </w:p>
        </w:tc>
        <w:tc>
          <w:tcPr>
            <w:tcW w:w="1075" w:type="dxa"/>
            <w:noWrap/>
            <w:vAlign w:val="bottom"/>
            <w:hideMark/>
          </w:tcPr>
          <w:p w14:paraId="0E539FB3" w14:textId="1384705F" w:rsidR="0004033F" w:rsidRPr="0004033F" w:rsidRDefault="0004033F" w:rsidP="0004033F">
            <w:pPr>
              <w:rPr>
                <w:sz w:val="20"/>
                <w:szCs w:val="20"/>
              </w:rPr>
            </w:pPr>
            <w:r w:rsidRPr="0004033F">
              <w:rPr>
                <w:color w:val="000000"/>
                <w:sz w:val="20"/>
                <w:szCs w:val="20"/>
              </w:rPr>
              <w:t> </w:t>
            </w:r>
          </w:p>
        </w:tc>
        <w:tc>
          <w:tcPr>
            <w:tcW w:w="1075" w:type="dxa"/>
            <w:noWrap/>
            <w:vAlign w:val="bottom"/>
            <w:hideMark/>
          </w:tcPr>
          <w:p w14:paraId="39224768" w14:textId="1C7DA5F5" w:rsidR="0004033F" w:rsidRPr="0004033F" w:rsidRDefault="0004033F" w:rsidP="0004033F">
            <w:pPr>
              <w:rPr>
                <w:sz w:val="20"/>
                <w:szCs w:val="20"/>
              </w:rPr>
            </w:pPr>
            <w:r w:rsidRPr="0004033F">
              <w:rPr>
                <w:color w:val="000000"/>
                <w:sz w:val="20"/>
                <w:szCs w:val="20"/>
              </w:rPr>
              <w:t> </w:t>
            </w:r>
          </w:p>
        </w:tc>
        <w:tc>
          <w:tcPr>
            <w:tcW w:w="1075" w:type="dxa"/>
            <w:noWrap/>
            <w:vAlign w:val="bottom"/>
            <w:hideMark/>
          </w:tcPr>
          <w:p w14:paraId="731A2F27" w14:textId="0EEA27FD" w:rsidR="0004033F" w:rsidRPr="0004033F" w:rsidRDefault="0004033F" w:rsidP="0004033F">
            <w:pPr>
              <w:rPr>
                <w:sz w:val="20"/>
                <w:szCs w:val="20"/>
              </w:rPr>
            </w:pPr>
            <w:r w:rsidRPr="0004033F">
              <w:rPr>
                <w:color w:val="000000"/>
                <w:sz w:val="20"/>
                <w:szCs w:val="20"/>
              </w:rPr>
              <w:t> </w:t>
            </w:r>
          </w:p>
        </w:tc>
        <w:tc>
          <w:tcPr>
            <w:tcW w:w="1075" w:type="dxa"/>
            <w:noWrap/>
            <w:vAlign w:val="bottom"/>
            <w:hideMark/>
          </w:tcPr>
          <w:p w14:paraId="4E8FEB38" w14:textId="2CA9F890" w:rsidR="0004033F" w:rsidRPr="0004033F" w:rsidRDefault="0004033F" w:rsidP="0004033F">
            <w:pPr>
              <w:rPr>
                <w:sz w:val="20"/>
                <w:szCs w:val="20"/>
              </w:rPr>
            </w:pPr>
            <w:r w:rsidRPr="0004033F">
              <w:rPr>
                <w:color w:val="000000"/>
                <w:sz w:val="20"/>
                <w:szCs w:val="20"/>
              </w:rPr>
              <w:t> </w:t>
            </w:r>
          </w:p>
        </w:tc>
      </w:tr>
      <w:tr w:rsidR="0004033F" w:rsidRPr="0004033F" w14:paraId="6BA2F4BC" w14:textId="77777777" w:rsidTr="0004033F">
        <w:trPr>
          <w:trHeight w:val="315"/>
        </w:trPr>
        <w:tc>
          <w:tcPr>
            <w:tcW w:w="1076" w:type="dxa"/>
            <w:noWrap/>
            <w:vAlign w:val="bottom"/>
            <w:hideMark/>
          </w:tcPr>
          <w:p w14:paraId="5FF0898D" w14:textId="2501DF8B" w:rsidR="0004033F" w:rsidRPr="0004033F" w:rsidRDefault="0004033F" w:rsidP="0004033F">
            <w:pPr>
              <w:rPr>
                <w:sz w:val="20"/>
                <w:szCs w:val="20"/>
              </w:rPr>
            </w:pPr>
            <w:r w:rsidRPr="0004033F">
              <w:rPr>
                <w:color w:val="000000"/>
                <w:sz w:val="20"/>
                <w:szCs w:val="20"/>
              </w:rPr>
              <w:t>CPV</w:t>
            </w:r>
          </w:p>
        </w:tc>
        <w:tc>
          <w:tcPr>
            <w:tcW w:w="1076" w:type="dxa"/>
            <w:noWrap/>
            <w:vAlign w:val="bottom"/>
            <w:hideMark/>
          </w:tcPr>
          <w:p w14:paraId="29D9D5F2" w14:textId="4714241D" w:rsidR="0004033F" w:rsidRPr="0004033F" w:rsidRDefault="0004033F" w:rsidP="0004033F">
            <w:pPr>
              <w:rPr>
                <w:sz w:val="20"/>
                <w:szCs w:val="20"/>
              </w:rPr>
            </w:pPr>
            <w:r w:rsidRPr="0004033F">
              <w:rPr>
                <w:color w:val="000000"/>
                <w:sz w:val="20"/>
                <w:szCs w:val="20"/>
              </w:rPr>
              <w:t>66.4</w:t>
            </w:r>
          </w:p>
        </w:tc>
        <w:tc>
          <w:tcPr>
            <w:tcW w:w="1075" w:type="dxa"/>
            <w:noWrap/>
            <w:vAlign w:val="bottom"/>
            <w:hideMark/>
          </w:tcPr>
          <w:p w14:paraId="24F168BA" w14:textId="06198ED6" w:rsidR="0004033F" w:rsidRPr="0004033F" w:rsidRDefault="0004033F" w:rsidP="0004033F">
            <w:pPr>
              <w:rPr>
                <w:sz w:val="20"/>
                <w:szCs w:val="20"/>
              </w:rPr>
            </w:pPr>
            <w:r w:rsidRPr="0004033F">
              <w:rPr>
                <w:color w:val="000000"/>
                <w:sz w:val="20"/>
                <w:szCs w:val="20"/>
              </w:rPr>
              <w:t>66.8</w:t>
            </w:r>
          </w:p>
        </w:tc>
        <w:tc>
          <w:tcPr>
            <w:tcW w:w="1075" w:type="dxa"/>
            <w:noWrap/>
            <w:vAlign w:val="bottom"/>
            <w:hideMark/>
          </w:tcPr>
          <w:p w14:paraId="5C4B69CE" w14:textId="3A99D837" w:rsidR="0004033F" w:rsidRPr="0004033F" w:rsidRDefault="0004033F" w:rsidP="0004033F">
            <w:pPr>
              <w:rPr>
                <w:sz w:val="20"/>
                <w:szCs w:val="20"/>
              </w:rPr>
            </w:pPr>
            <w:r w:rsidRPr="0004033F">
              <w:rPr>
                <w:color w:val="000000"/>
                <w:sz w:val="20"/>
                <w:szCs w:val="20"/>
              </w:rPr>
              <w:t>66.6</w:t>
            </w:r>
          </w:p>
        </w:tc>
        <w:tc>
          <w:tcPr>
            <w:tcW w:w="1075" w:type="dxa"/>
            <w:noWrap/>
            <w:vAlign w:val="bottom"/>
            <w:hideMark/>
          </w:tcPr>
          <w:p w14:paraId="5426F38E" w14:textId="4ECAC7C4" w:rsidR="0004033F" w:rsidRPr="0004033F" w:rsidRDefault="0004033F" w:rsidP="0004033F">
            <w:pPr>
              <w:rPr>
                <w:sz w:val="20"/>
                <w:szCs w:val="20"/>
              </w:rPr>
            </w:pPr>
            <w:r w:rsidRPr="0004033F">
              <w:rPr>
                <w:color w:val="000000"/>
                <w:sz w:val="20"/>
                <w:szCs w:val="20"/>
              </w:rPr>
              <w:t>68.2</w:t>
            </w:r>
          </w:p>
        </w:tc>
        <w:tc>
          <w:tcPr>
            <w:tcW w:w="1075" w:type="dxa"/>
            <w:noWrap/>
            <w:vAlign w:val="bottom"/>
            <w:hideMark/>
          </w:tcPr>
          <w:p w14:paraId="755A61C1" w14:textId="4C1E6796" w:rsidR="0004033F" w:rsidRPr="0004033F" w:rsidRDefault="0004033F" w:rsidP="0004033F">
            <w:pPr>
              <w:rPr>
                <w:sz w:val="20"/>
                <w:szCs w:val="20"/>
              </w:rPr>
            </w:pPr>
            <w:r w:rsidRPr="0004033F">
              <w:rPr>
                <w:color w:val="000000"/>
                <w:sz w:val="20"/>
                <w:szCs w:val="20"/>
              </w:rPr>
              <w:t>100</w:t>
            </w:r>
          </w:p>
        </w:tc>
        <w:tc>
          <w:tcPr>
            <w:tcW w:w="1075" w:type="dxa"/>
            <w:noWrap/>
            <w:vAlign w:val="bottom"/>
            <w:hideMark/>
          </w:tcPr>
          <w:p w14:paraId="27651AC8" w14:textId="446AD063" w:rsidR="0004033F" w:rsidRPr="0004033F" w:rsidRDefault="0004033F" w:rsidP="0004033F">
            <w:pPr>
              <w:rPr>
                <w:sz w:val="20"/>
                <w:szCs w:val="20"/>
              </w:rPr>
            </w:pPr>
            <w:r w:rsidRPr="0004033F">
              <w:rPr>
                <w:color w:val="000000"/>
                <w:sz w:val="20"/>
                <w:szCs w:val="20"/>
              </w:rPr>
              <w:t> </w:t>
            </w:r>
          </w:p>
        </w:tc>
        <w:tc>
          <w:tcPr>
            <w:tcW w:w="1075" w:type="dxa"/>
            <w:noWrap/>
            <w:vAlign w:val="bottom"/>
            <w:hideMark/>
          </w:tcPr>
          <w:p w14:paraId="6CC13342" w14:textId="53C13216" w:rsidR="0004033F" w:rsidRPr="0004033F" w:rsidRDefault="0004033F" w:rsidP="0004033F">
            <w:pPr>
              <w:rPr>
                <w:sz w:val="20"/>
                <w:szCs w:val="20"/>
              </w:rPr>
            </w:pPr>
            <w:r w:rsidRPr="0004033F">
              <w:rPr>
                <w:color w:val="000000"/>
                <w:sz w:val="20"/>
                <w:szCs w:val="20"/>
              </w:rPr>
              <w:t> </w:t>
            </w:r>
          </w:p>
        </w:tc>
        <w:tc>
          <w:tcPr>
            <w:tcW w:w="1075" w:type="dxa"/>
            <w:noWrap/>
            <w:vAlign w:val="bottom"/>
            <w:hideMark/>
          </w:tcPr>
          <w:p w14:paraId="4AD86B8E" w14:textId="0705DCDC" w:rsidR="0004033F" w:rsidRPr="0004033F" w:rsidRDefault="0004033F" w:rsidP="0004033F">
            <w:pPr>
              <w:rPr>
                <w:sz w:val="20"/>
                <w:szCs w:val="20"/>
              </w:rPr>
            </w:pPr>
            <w:r w:rsidRPr="0004033F">
              <w:rPr>
                <w:color w:val="000000"/>
                <w:sz w:val="20"/>
                <w:szCs w:val="20"/>
              </w:rPr>
              <w:t> </w:t>
            </w:r>
          </w:p>
        </w:tc>
      </w:tr>
      <w:tr w:rsidR="0004033F" w:rsidRPr="0004033F" w14:paraId="2B3708FE" w14:textId="77777777" w:rsidTr="0004033F">
        <w:trPr>
          <w:trHeight w:val="315"/>
        </w:trPr>
        <w:tc>
          <w:tcPr>
            <w:tcW w:w="1076" w:type="dxa"/>
            <w:noWrap/>
            <w:vAlign w:val="bottom"/>
            <w:hideMark/>
          </w:tcPr>
          <w:p w14:paraId="6593BB71" w14:textId="2100E83C" w:rsidR="0004033F" w:rsidRPr="0004033F" w:rsidRDefault="0004033F" w:rsidP="0004033F">
            <w:pPr>
              <w:rPr>
                <w:sz w:val="20"/>
                <w:szCs w:val="20"/>
              </w:rPr>
            </w:pPr>
            <w:r w:rsidRPr="0004033F">
              <w:rPr>
                <w:color w:val="000000"/>
                <w:sz w:val="20"/>
                <w:szCs w:val="20"/>
              </w:rPr>
              <w:t>EKV</w:t>
            </w:r>
            <w:r>
              <w:rPr>
                <w:color w:val="000000"/>
                <w:sz w:val="20"/>
                <w:szCs w:val="20"/>
              </w:rPr>
              <w:t>-</w:t>
            </w:r>
            <w:r w:rsidRPr="0004033F">
              <w:rPr>
                <w:color w:val="000000"/>
                <w:sz w:val="20"/>
                <w:szCs w:val="20"/>
              </w:rPr>
              <w:t>1</w:t>
            </w:r>
          </w:p>
        </w:tc>
        <w:tc>
          <w:tcPr>
            <w:tcW w:w="1076" w:type="dxa"/>
            <w:noWrap/>
            <w:vAlign w:val="bottom"/>
            <w:hideMark/>
          </w:tcPr>
          <w:p w14:paraId="6F8AD4A9" w14:textId="33CF6976" w:rsidR="0004033F" w:rsidRPr="0004033F" w:rsidRDefault="0004033F" w:rsidP="0004033F">
            <w:pPr>
              <w:rPr>
                <w:sz w:val="20"/>
                <w:szCs w:val="20"/>
              </w:rPr>
            </w:pPr>
            <w:r w:rsidRPr="0004033F">
              <w:rPr>
                <w:color w:val="000000"/>
                <w:sz w:val="20"/>
                <w:szCs w:val="20"/>
              </w:rPr>
              <w:t>47.6</w:t>
            </w:r>
          </w:p>
        </w:tc>
        <w:tc>
          <w:tcPr>
            <w:tcW w:w="1075" w:type="dxa"/>
            <w:noWrap/>
            <w:vAlign w:val="bottom"/>
            <w:hideMark/>
          </w:tcPr>
          <w:p w14:paraId="3C0D45D7" w14:textId="1F10957E" w:rsidR="0004033F" w:rsidRPr="0004033F" w:rsidRDefault="0004033F" w:rsidP="0004033F">
            <w:pPr>
              <w:rPr>
                <w:sz w:val="20"/>
                <w:szCs w:val="20"/>
              </w:rPr>
            </w:pPr>
            <w:r w:rsidRPr="0004033F">
              <w:rPr>
                <w:color w:val="000000"/>
                <w:sz w:val="20"/>
                <w:szCs w:val="20"/>
              </w:rPr>
              <w:t>47.8</w:t>
            </w:r>
          </w:p>
        </w:tc>
        <w:tc>
          <w:tcPr>
            <w:tcW w:w="1075" w:type="dxa"/>
            <w:noWrap/>
            <w:vAlign w:val="bottom"/>
            <w:hideMark/>
          </w:tcPr>
          <w:p w14:paraId="643D190D" w14:textId="7711B49C" w:rsidR="0004033F" w:rsidRPr="0004033F" w:rsidRDefault="0004033F" w:rsidP="0004033F">
            <w:pPr>
              <w:rPr>
                <w:sz w:val="20"/>
                <w:szCs w:val="20"/>
              </w:rPr>
            </w:pPr>
            <w:r w:rsidRPr="0004033F">
              <w:rPr>
                <w:color w:val="000000"/>
                <w:sz w:val="20"/>
                <w:szCs w:val="20"/>
              </w:rPr>
              <w:t>47.1</w:t>
            </w:r>
          </w:p>
        </w:tc>
        <w:tc>
          <w:tcPr>
            <w:tcW w:w="1075" w:type="dxa"/>
            <w:noWrap/>
            <w:vAlign w:val="bottom"/>
            <w:hideMark/>
          </w:tcPr>
          <w:p w14:paraId="16F700A9" w14:textId="3997A9E0" w:rsidR="0004033F" w:rsidRPr="0004033F" w:rsidRDefault="0004033F" w:rsidP="0004033F">
            <w:pPr>
              <w:rPr>
                <w:sz w:val="20"/>
                <w:szCs w:val="20"/>
              </w:rPr>
            </w:pPr>
            <w:r w:rsidRPr="0004033F">
              <w:rPr>
                <w:color w:val="000000"/>
                <w:sz w:val="20"/>
                <w:szCs w:val="20"/>
              </w:rPr>
              <w:t>45.9</w:t>
            </w:r>
          </w:p>
        </w:tc>
        <w:tc>
          <w:tcPr>
            <w:tcW w:w="1075" w:type="dxa"/>
            <w:noWrap/>
            <w:vAlign w:val="bottom"/>
            <w:hideMark/>
          </w:tcPr>
          <w:p w14:paraId="1CE10D51" w14:textId="27560C84" w:rsidR="0004033F" w:rsidRPr="0004033F" w:rsidRDefault="0004033F" w:rsidP="0004033F">
            <w:pPr>
              <w:rPr>
                <w:sz w:val="20"/>
                <w:szCs w:val="20"/>
              </w:rPr>
            </w:pPr>
            <w:r w:rsidRPr="0004033F">
              <w:rPr>
                <w:color w:val="000000"/>
                <w:sz w:val="20"/>
                <w:szCs w:val="20"/>
              </w:rPr>
              <w:t>46.6</w:t>
            </w:r>
          </w:p>
        </w:tc>
        <w:tc>
          <w:tcPr>
            <w:tcW w:w="1075" w:type="dxa"/>
            <w:noWrap/>
            <w:vAlign w:val="bottom"/>
            <w:hideMark/>
          </w:tcPr>
          <w:p w14:paraId="00C89F91" w14:textId="261BA2B0" w:rsidR="0004033F" w:rsidRPr="0004033F" w:rsidRDefault="0004033F" w:rsidP="0004033F">
            <w:pPr>
              <w:rPr>
                <w:sz w:val="20"/>
                <w:szCs w:val="20"/>
              </w:rPr>
            </w:pPr>
            <w:r w:rsidRPr="0004033F">
              <w:rPr>
                <w:color w:val="000000"/>
                <w:sz w:val="20"/>
                <w:szCs w:val="20"/>
              </w:rPr>
              <w:t>100</w:t>
            </w:r>
          </w:p>
        </w:tc>
        <w:tc>
          <w:tcPr>
            <w:tcW w:w="1075" w:type="dxa"/>
            <w:noWrap/>
            <w:vAlign w:val="bottom"/>
            <w:hideMark/>
          </w:tcPr>
          <w:p w14:paraId="2B9E2790" w14:textId="75B1CA13" w:rsidR="0004033F" w:rsidRPr="0004033F" w:rsidRDefault="0004033F" w:rsidP="0004033F">
            <w:pPr>
              <w:rPr>
                <w:sz w:val="20"/>
                <w:szCs w:val="20"/>
              </w:rPr>
            </w:pPr>
            <w:r w:rsidRPr="0004033F">
              <w:rPr>
                <w:color w:val="000000"/>
                <w:sz w:val="20"/>
                <w:szCs w:val="20"/>
              </w:rPr>
              <w:t> </w:t>
            </w:r>
          </w:p>
        </w:tc>
        <w:tc>
          <w:tcPr>
            <w:tcW w:w="1075" w:type="dxa"/>
            <w:noWrap/>
            <w:vAlign w:val="bottom"/>
            <w:hideMark/>
          </w:tcPr>
          <w:p w14:paraId="6D608764" w14:textId="275E339D" w:rsidR="0004033F" w:rsidRPr="0004033F" w:rsidRDefault="0004033F" w:rsidP="0004033F">
            <w:pPr>
              <w:rPr>
                <w:sz w:val="20"/>
                <w:szCs w:val="20"/>
              </w:rPr>
            </w:pPr>
            <w:r w:rsidRPr="0004033F">
              <w:rPr>
                <w:color w:val="000000"/>
                <w:sz w:val="20"/>
                <w:szCs w:val="20"/>
              </w:rPr>
              <w:t> </w:t>
            </w:r>
          </w:p>
        </w:tc>
      </w:tr>
      <w:tr w:rsidR="0004033F" w:rsidRPr="0004033F" w14:paraId="754E73F3" w14:textId="77777777" w:rsidTr="0004033F">
        <w:trPr>
          <w:trHeight w:val="315"/>
        </w:trPr>
        <w:tc>
          <w:tcPr>
            <w:tcW w:w="1076" w:type="dxa"/>
            <w:noWrap/>
            <w:vAlign w:val="bottom"/>
            <w:hideMark/>
          </w:tcPr>
          <w:p w14:paraId="7960CBAA" w14:textId="313B73E4" w:rsidR="0004033F" w:rsidRPr="0004033F" w:rsidRDefault="0004033F" w:rsidP="0004033F">
            <w:pPr>
              <w:rPr>
                <w:sz w:val="20"/>
                <w:szCs w:val="20"/>
              </w:rPr>
            </w:pPr>
            <w:r w:rsidRPr="0004033F">
              <w:rPr>
                <w:color w:val="000000"/>
                <w:sz w:val="20"/>
                <w:szCs w:val="20"/>
              </w:rPr>
              <w:t>EKV</w:t>
            </w:r>
            <w:r>
              <w:rPr>
                <w:color w:val="000000"/>
                <w:sz w:val="20"/>
                <w:szCs w:val="20"/>
              </w:rPr>
              <w:t>-</w:t>
            </w:r>
            <w:r w:rsidRPr="0004033F">
              <w:rPr>
                <w:color w:val="000000"/>
                <w:sz w:val="20"/>
                <w:szCs w:val="20"/>
              </w:rPr>
              <w:t>2</w:t>
            </w:r>
          </w:p>
        </w:tc>
        <w:tc>
          <w:tcPr>
            <w:tcW w:w="1076" w:type="dxa"/>
            <w:noWrap/>
            <w:vAlign w:val="bottom"/>
            <w:hideMark/>
          </w:tcPr>
          <w:p w14:paraId="11723F55" w14:textId="7C4C6A9F" w:rsidR="0004033F" w:rsidRPr="0004033F" w:rsidRDefault="0004033F" w:rsidP="0004033F">
            <w:pPr>
              <w:rPr>
                <w:sz w:val="20"/>
                <w:szCs w:val="20"/>
              </w:rPr>
            </w:pPr>
            <w:r w:rsidRPr="0004033F">
              <w:rPr>
                <w:color w:val="000000"/>
                <w:sz w:val="20"/>
                <w:szCs w:val="20"/>
              </w:rPr>
              <w:t>40.2</w:t>
            </w:r>
          </w:p>
        </w:tc>
        <w:tc>
          <w:tcPr>
            <w:tcW w:w="1075" w:type="dxa"/>
            <w:noWrap/>
            <w:vAlign w:val="bottom"/>
            <w:hideMark/>
          </w:tcPr>
          <w:p w14:paraId="66F45C0B" w14:textId="06931D00" w:rsidR="0004033F" w:rsidRPr="0004033F" w:rsidRDefault="0004033F" w:rsidP="0004033F">
            <w:pPr>
              <w:rPr>
                <w:sz w:val="20"/>
                <w:szCs w:val="20"/>
              </w:rPr>
            </w:pPr>
            <w:r w:rsidRPr="0004033F">
              <w:rPr>
                <w:color w:val="000000"/>
                <w:sz w:val="20"/>
                <w:szCs w:val="20"/>
              </w:rPr>
              <w:t>40.2</w:t>
            </w:r>
          </w:p>
        </w:tc>
        <w:tc>
          <w:tcPr>
            <w:tcW w:w="1075" w:type="dxa"/>
            <w:noWrap/>
            <w:vAlign w:val="bottom"/>
            <w:hideMark/>
          </w:tcPr>
          <w:p w14:paraId="477C0CBA" w14:textId="3CE7E715" w:rsidR="0004033F" w:rsidRPr="0004033F" w:rsidRDefault="0004033F" w:rsidP="0004033F">
            <w:pPr>
              <w:rPr>
                <w:sz w:val="20"/>
                <w:szCs w:val="20"/>
              </w:rPr>
            </w:pPr>
            <w:r w:rsidRPr="0004033F">
              <w:rPr>
                <w:color w:val="000000"/>
                <w:sz w:val="20"/>
                <w:szCs w:val="20"/>
              </w:rPr>
              <w:t>39.7</w:t>
            </w:r>
          </w:p>
        </w:tc>
        <w:tc>
          <w:tcPr>
            <w:tcW w:w="1075" w:type="dxa"/>
            <w:noWrap/>
            <w:vAlign w:val="bottom"/>
            <w:hideMark/>
          </w:tcPr>
          <w:p w14:paraId="7D0129A3" w14:textId="32369A72" w:rsidR="0004033F" w:rsidRPr="0004033F" w:rsidRDefault="0004033F" w:rsidP="0004033F">
            <w:pPr>
              <w:rPr>
                <w:sz w:val="20"/>
                <w:szCs w:val="20"/>
              </w:rPr>
            </w:pPr>
            <w:r w:rsidRPr="0004033F">
              <w:rPr>
                <w:color w:val="000000"/>
                <w:sz w:val="20"/>
                <w:szCs w:val="20"/>
              </w:rPr>
              <w:t>38.6</w:t>
            </w:r>
          </w:p>
        </w:tc>
        <w:tc>
          <w:tcPr>
            <w:tcW w:w="1075" w:type="dxa"/>
            <w:noWrap/>
            <w:vAlign w:val="bottom"/>
            <w:hideMark/>
          </w:tcPr>
          <w:p w14:paraId="30A74BE6" w14:textId="073E0098" w:rsidR="0004033F" w:rsidRPr="0004033F" w:rsidRDefault="0004033F" w:rsidP="0004033F">
            <w:pPr>
              <w:rPr>
                <w:sz w:val="20"/>
                <w:szCs w:val="20"/>
              </w:rPr>
            </w:pPr>
            <w:r w:rsidRPr="0004033F">
              <w:rPr>
                <w:color w:val="000000"/>
                <w:sz w:val="20"/>
                <w:szCs w:val="20"/>
              </w:rPr>
              <w:t>40</w:t>
            </w:r>
          </w:p>
        </w:tc>
        <w:tc>
          <w:tcPr>
            <w:tcW w:w="1075" w:type="dxa"/>
            <w:noWrap/>
            <w:vAlign w:val="bottom"/>
            <w:hideMark/>
          </w:tcPr>
          <w:p w14:paraId="1D178FCC" w14:textId="300019E8" w:rsidR="0004033F" w:rsidRPr="0004033F" w:rsidRDefault="0004033F" w:rsidP="0004033F">
            <w:pPr>
              <w:rPr>
                <w:sz w:val="20"/>
                <w:szCs w:val="20"/>
              </w:rPr>
            </w:pPr>
            <w:r w:rsidRPr="0004033F">
              <w:rPr>
                <w:color w:val="000000"/>
                <w:sz w:val="20"/>
                <w:szCs w:val="20"/>
              </w:rPr>
              <w:t>41.4</w:t>
            </w:r>
          </w:p>
        </w:tc>
        <w:tc>
          <w:tcPr>
            <w:tcW w:w="1075" w:type="dxa"/>
            <w:noWrap/>
            <w:vAlign w:val="bottom"/>
            <w:hideMark/>
          </w:tcPr>
          <w:p w14:paraId="2BF44566" w14:textId="75FE8212" w:rsidR="0004033F" w:rsidRPr="0004033F" w:rsidRDefault="0004033F" w:rsidP="0004033F">
            <w:pPr>
              <w:rPr>
                <w:sz w:val="20"/>
                <w:szCs w:val="20"/>
              </w:rPr>
            </w:pPr>
            <w:r w:rsidRPr="0004033F">
              <w:rPr>
                <w:color w:val="000000"/>
                <w:sz w:val="20"/>
                <w:szCs w:val="20"/>
              </w:rPr>
              <w:t>100</w:t>
            </w:r>
          </w:p>
        </w:tc>
        <w:tc>
          <w:tcPr>
            <w:tcW w:w="1075" w:type="dxa"/>
            <w:noWrap/>
            <w:vAlign w:val="bottom"/>
            <w:hideMark/>
          </w:tcPr>
          <w:p w14:paraId="55172E0C" w14:textId="49C9ECCB" w:rsidR="0004033F" w:rsidRPr="0004033F" w:rsidRDefault="0004033F" w:rsidP="0004033F">
            <w:pPr>
              <w:rPr>
                <w:sz w:val="20"/>
                <w:szCs w:val="20"/>
              </w:rPr>
            </w:pPr>
            <w:r w:rsidRPr="0004033F">
              <w:rPr>
                <w:color w:val="000000"/>
                <w:sz w:val="20"/>
                <w:szCs w:val="20"/>
              </w:rPr>
              <w:t> </w:t>
            </w:r>
          </w:p>
        </w:tc>
      </w:tr>
      <w:tr w:rsidR="0004033F" w:rsidRPr="0004033F" w14:paraId="3185A180" w14:textId="77777777" w:rsidTr="0004033F">
        <w:trPr>
          <w:trHeight w:val="315"/>
        </w:trPr>
        <w:tc>
          <w:tcPr>
            <w:tcW w:w="1076" w:type="dxa"/>
            <w:noWrap/>
            <w:vAlign w:val="bottom"/>
            <w:hideMark/>
          </w:tcPr>
          <w:p w14:paraId="5DC31934" w14:textId="7B729996" w:rsidR="0004033F" w:rsidRPr="0004033F" w:rsidRDefault="0004033F" w:rsidP="0004033F">
            <w:pPr>
              <w:rPr>
                <w:sz w:val="20"/>
                <w:szCs w:val="20"/>
              </w:rPr>
            </w:pPr>
            <w:r w:rsidRPr="0004033F">
              <w:rPr>
                <w:color w:val="000000"/>
                <w:sz w:val="20"/>
                <w:szCs w:val="20"/>
              </w:rPr>
              <w:t>BASV</w:t>
            </w:r>
          </w:p>
        </w:tc>
        <w:tc>
          <w:tcPr>
            <w:tcW w:w="1076" w:type="dxa"/>
            <w:noWrap/>
            <w:vAlign w:val="bottom"/>
            <w:hideMark/>
          </w:tcPr>
          <w:p w14:paraId="20AAB756" w14:textId="67F6A9ED" w:rsidR="0004033F" w:rsidRPr="0004033F" w:rsidRDefault="0004033F" w:rsidP="0004033F">
            <w:pPr>
              <w:rPr>
                <w:sz w:val="20"/>
                <w:szCs w:val="20"/>
              </w:rPr>
            </w:pPr>
            <w:r w:rsidRPr="0004033F">
              <w:rPr>
                <w:color w:val="000000"/>
                <w:sz w:val="20"/>
                <w:szCs w:val="20"/>
              </w:rPr>
              <w:t>39.6</w:t>
            </w:r>
          </w:p>
        </w:tc>
        <w:tc>
          <w:tcPr>
            <w:tcW w:w="1075" w:type="dxa"/>
            <w:noWrap/>
            <w:vAlign w:val="bottom"/>
            <w:hideMark/>
          </w:tcPr>
          <w:p w14:paraId="504810BE" w14:textId="7FC61767" w:rsidR="0004033F" w:rsidRPr="0004033F" w:rsidRDefault="0004033F" w:rsidP="0004033F">
            <w:pPr>
              <w:rPr>
                <w:sz w:val="20"/>
                <w:szCs w:val="20"/>
              </w:rPr>
            </w:pPr>
            <w:r w:rsidRPr="0004033F">
              <w:rPr>
                <w:color w:val="000000"/>
                <w:sz w:val="20"/>
                <w:szCs w:val="20"/>
              </w:rPr>
              <w:t>39.8</w:t>
            </w:r>
          </w:p>
        </w:tc>
        <w:tc>
          <w:tcPr>
            <w:tcW w:w="1075" w:type="dxa"/>
            <w:noWrap/>
            <w:vAlign w:val="bottom"/>
            <w:hideMark/>
          </w:tcPr>
          <w:p w14:paraId="77B73332" w14:textId="66E08E3B" w:rsidR="0004033F" w:rsidRPr="0004033F" w:rsidRDefault="0004033F" w:rsidP="0004033F">
            <w:pPr>
              <w:rPr>
                <w:sz w:val="20"/>
                <w:szCs w:val="20"/>
              </w:rPr>
            </w:pPr>
            <w:r w:rsidRPr="0004033F">
              <w:rPr>
                <w:color w:val="000000"/>
                <w:sz w:val="20"/>
                <w:szCs w:val="20"/>
              </w:rPr>
              <w:t>38.6</w:t>
            </w:r>
          </w:p>
        </w:tc>
        <w:tc>
          <w:tcPr>
            <w:tcW w:w="1075" w:type="dxa"/>
            <w:noWrap/>
            <w:vAlign w:val="bottom"/>
            <w:hideMark/>
          </w:tcPr>
          <w:p w14:paraId="4A33EDC3" w14:textId="2FBF67ED" w:rsidR="0004033F" w:rsidRPr="0004033F" w:rsidRDefault="0004033F" w:rsidP="0004033F">
            <w:pPr>
              <w:rPr>
                <w:sz w:val="20"/>
                <w:szCs w:val="20"/>
              </w:rPr>
            </w:pPr>
            <w:r w:rsidRPr="0004033F">
              <w:rPr>
                <w:color w:val="000000"/>
                <w:sz w:val="20"/>
                <w:szCs w:val="20"/>
              </w:rPr>
              <w:t>39.6</w:t>
            </w:r>
          </w:p>
        </w:tc>
        <w:tc>
          <w:tcPr>
            <w:tcW w:w="1075" w:type="dxa"/>
            <w:noWrap/>
            <w:vAlign w:val="bottom"/>
            <w:hideMark/>
          </w:tcPr>
          <w:p w14:paraId="4535418F" w14:textId="4AE9DEA4" w:rsidR="0004033F" w:rsidRPr="0004033F" w:rsidRDefault="0004033F" w:rsidP="0004033F">
            <w:pPr>
              <w:rPr>
                <w:sz w:val="20"/>
                <w:szCs w:val="20"/>
              </w:rPr>
            </w:pPr>
            <w:r w:rsidRPr="0004033F">
              <w:rPr>
                <w:color w:val="000000"/>
                <w:sz w:val="20"/>
                <w:szCs w:val="20"/>
              </w:rPr>
              <w:t>40.3</w:t>
            </w:r>
          </w:p>
        </w:tc>
        <w:tc>
          <w:tcPr>
            <w:tcW w:w="1075" w:type="dxa"/>
            <w:noWrap/>
            <w:vAlign w:val="bottom"/>
            <w:hideMark/>
          </w:tcPr>
          <w:p w14:paraId="2720DE1F" w14:textId="227FC083" w:rsidR="0004033F" w:rsidRPr="0004033F" w:rsidRDefault="0004033F" w:rsidP="0004033F">
            <w:pPr>
              <w:rPr>
                <w:sz w:val="20"/>
                <w:szCs w:val="20"/>
              </w:rPr>
            </w:pPr>
            <w:r w:rsidRPr="0004033F">
              <w:rPr>
                <w:color w:val="000000"/>
                <w:sz w:val="20"/>
                <w:szCs w:val="20"/>
              </w:rPr>
              <w:t>40.5</w:t>
            </w:r>
          </w:p>
        </w:tc>
        <w:tc>
          <w:tcPr>
            <w:tcW w:w="1075" w:type="dxa"/>
            <w:noWrap/>
            <w:vAlign w:val="bottom"/>
            <w:hideMark/>
          </w:tcPr>
          <w:p w14:paraId="32F61691" w14:textId="6A37B64F" w:rsidR="0004033F" w:rsidRPr="0004033F" w:rsidRDefault="0004033F" w:rsidP="0004033F">
            <w:pPr>
              <w:rPr>
                <w:sz w:val="20"/>
                <w:szCs w:val="20"/>
              </w:rPr>
            </w:pPr>
            <w:r w:rsidRPr="0004033F">
              <w:rPr>
                <w:color w:val="000000"/>
                <w:sz w:val="20"/>
                <w:szCs w:val="20"/>
              </w:rPr>
              <w:t>45.2</w:t>
            </w:r>
          </w:p>
        </w:tc>
        <w:tc>
          <w:tcPr>
            <w:tcW w:w="1075" w:type="dxa"/>
            <w:noWrap/>
            <w:vAlign w:val="bottom"/>
            <w:hideMark/>
          </w:tcPr>
          <w:p w14:paraId="25CC8135" w14:textId="737F9A50" w:rsidR="0004033F" w:rsidRPr="0004033F" w:rsidRDefault="0004033F" w:rsidP="0004033F">
            <w:pPr>
              <w:rPr>
                <w:sz w:val="20"/>
                <w:szCs w:val="20"/>
              </w:rPr>
            </w:pPr>
            <w:r w:rsidRPr="0004033F">
              <w:rPr>
                <w:color w:val="000000"/>
                <w:sz w:val="20"/>
                <w:szCs w:val="20"/>
              </w:rPr>
              <w:t>100</w:t>
            </w:r>
          </w:p>
        </w:tc>
      </w:tr>
    </w:tbl>
    <w:p w14:paraId="0FB4E852" w14:textId="660807FA" w:rsidR="00736018" w:rsidRPr="0004033F" w:rsidRDefault="00736018">
      <w:pPr>
        <w:rPr>
          <w:sz w:val="20"/>
          <w:szCs w:val="20"/>
        </w:rPr>
      </w:pPr>
    </w:p>
    <w:p w14:paraId="5D26E3AD" w14:textId="3345380E" w:rsidR="0004033F" w:rsidRPr="0004033F" w:rsidRDefault="0004033F">
      <w:pPr>
        <w:rPr>
          <w:sz w:val="20"/>
          <w:szCs w:val="20"/>
        </w:rPr>
      </w:pPr>
    </w:p>
    <w:p w14:paraId="018434E6" w14:textId="39A3453F" w:rsidR="0004033F" w:rsidRPr="0004033F" w:rsidRDefault="0004033F">
      <w:pPr>
        <w:rPr>
          <w:b/>
          <w:sz w:val="20"/>
          <w:szCs w:val="20"/>
        </w:rPr>
      </w:pPr>
      <w:r w:rsidRPr="0004033F">
        <w:rPr>
          <w:b/>
          <w:sz w:val="20"/>
          <w:szCs w:val="20"/>
        </w:rPr>
        <w:t>Table 2. Amino acid sequence identities of tibrovirus G protein sequences as determined in Geneious 10.2.3.</w:t>
      </w:r>
    </w:p>
    <w:tbl>
      <w:tblPr>
        <w:tblStyle w:val="TableGrid"/>
        <w:tblW w:w="0" w:type="auto"/>
        <w:tblLook w:val="04A0" w:firstRow="1" w:lastRow="0" w:firstColumn="1" w:lastColumn="0" w:noHBand="0" w:noVBand="1"/>
      </w:tblPr>
      <w:tblGrid>
        <w:gridCol w:w="1076"/>
        <w:gridCol w:w="1076"/>
        <w:gridCol w:w="1075"/>
        <w:gridCol w:w="1075"/>
        <w:gridCol w:w="1075"/>
        <w:gridCol w:w="1075"/>
        <w:gridCol w:w="1075"/>
        <w:gridCol w:w="1075"/>
        <w:gridCol w:w="1075"/>
      </w:tblGrid>
      <w:tr w:rsidR="0004033F" w:rsidRPr="0004033F" w14:paraId="1EF7C552" w14:textId="77777777" w:rsidTr="0004033F">
        <w:trPr>
          <w:trHeight w:val="315"/>
        </w:trPr>
        <w:tc>
          <w:tcPr>
            <w:tcW w:w="1320" w:type="dxa"/>
            <w:noWrap/>
            <w:hideMark/>
          </w:tcPr>
          <w:p w14:paraId="41F0C4B0" w14:textId="77777777" w:rsidR="0004033F" w:rsidRPr="0004033F" w:rsidRDefault="0004033F" w:rsidP="0004033F">
            <w:pPr>
              <w:rPr>
                <w:sz w:val="20"/>
                <w:szCs w:val="20"/>
              </w:rPr>
            </w:pPr>
            <w:r w:rsidRPr="0004033F">
              <w:rPr>
                <w:sz w:val="20"/>
                <w:szCs w:val="20"/>
              </w:rPr>
              <w:t> </w:t>
            </w:r>
          </w:p>
        </w:tc>
        <w:tc>
          <w:tcPr>
            <w:tcW w:w="1320" w:type="dxa"/>
            <w:noWrap/>
            <w:hideMark/>
          </w:tcPr>
          <w:p w14:paraId="4CB67588" w14:textId="77777777" w:rsidR="0004033F" w:rsidRPr="0004033F" w:rsidRDefault="0004033F" w:rsidP="0004033F">
            <w:pPr>
              <w:rPr>
                <w:sz w:val="20"/>
                <w:szCs w:val="20"/>
              </w:rPr>
            </w:pPr>
            <w:r w:rsidRPr="0004033F">
              <w:rPr>
                <w:sz w:val="20"/>
                <w:szCs w:val="20"/>
              </w:rPr>
              <w:t>TIBV</w:t>
            </w:r>
          </w:p>
        </w:tc>
        <w:tc>
          <w:tcPr>
            <w:tcW w:w="1320" w:type="dxa"/>
            <w:noWrap/>
            <w:hideMark/>
          </w:tcPr>
          <w:p w14:paraId="0EC7BF9F" w14:textId="77777777" w:rsidR="0004033F" w:rsidRPr="0004033F" w:rsidRDefault="0004033F" w:rsidP="0004033F">
            <w:pPr>
              <w:rPr>
                <w:sz w:val="20"/>
                <w:szCs w:val="20"/>
              </w:rPr>
            </w:pPr>
            <w:r w:rsidRPr="0004033F">
              <w:rPr>
                <w:sz w:val="20"/>
                <w:szCs w:val="20"/>
              </w:rPr>
              <w:t>BAV</w:t>
            </w:r>
          </w:p>
        </w:tc>
        <w:tc>
          <w:tcPr>
            <w:tcW w:w="1320" w:type="dxa"/>
            <w:noWrap/>
            <w:hideMark/>
          </w:tcPr>
          <w:p w14:paraId="200EE8BE" w14:textId="77777777" w:rsidR="0004033F" w:rsidRPr="0004033F" w:rsidRDefault="0004033F" w:rsidP="0004033F">
            <w:pPr>
              <w:rPr>
                <w:sz w:val="20"/>
                <w:szCs w:val="20"/>
              </w:rPr>
            </w:pPr>
            <w:r w:rsidRPr="0004033F">
              <w:rPr>
                <w:sz w:val="20"/>
                <w:szCs w:val="20"/>
              </w:rPr>
              <w:t>BHV</w:t>
            </w:r>
          </w:p>
        </w:tc>
        <w:tc>
          <w:tcPr>
            <w:tcW w:w="1320" w:type="dxa"/>
            <w:noWrap/>
            <w:hideMark/>
          </w:tcPr>
          <w:p w14:paraId="77037A6A" w14:textId="77777777" w:rsidR="0004033F" w:rsidRPr="0004033F" w:rsidRDefault="0004033F" w:rsidP="0004033F">
            <w:pPr>
              <w:rPr>
                <w:sz w:val="20"/>
                <w:szCs w:val="20"/>
              </w:rPr>
            </w:pPr>
            <w:r w:rsidRPr="0004033F">
              <w:rPr>
                <w:sz w:val="20"/>
                <w:szCs w:val="20"/>
              </w:rPr>
              <w:t>SWBV</w:t>
            </w:r>
          </w:p>
        </w:tc>
        <w:tc>
          <w:tcPr>
            <w:tcW w:w="1320" w:type="dxa"/>
            <w:noWrap/>
            <w:hideMark/>
          </w:tcPr>
          <w:p w14:paraId="5B7C39F4" w14:textId="77777777" w:rsidR="0004033F" w:rsidRPr="0004033F" w:rsidRDefault="0004033F" w:rsidP="0004033F">
            <w:pPr>
              <w:rPr>
                <w:sz w:val="20"/>
                <w:szCs w:val="20"/>
              </w:rPr>
            </w:pPr>
            <w:r w:rsidRPr="0004033F">
              <w:rPr>
                <w:sz w:val="20"/>
                <w:szCs w:val="20"/>
              </w:rPr>
              <w:t>CPV</w:t>
            </w:r>
          </w:p>
        </w:tc>
        <w:tc>
          <w:tcPr>
            <w:tcW w:w="1320" w:type="dxa"/>
            <w:noWrap/>
            <w:hideMark/>
          </w:tcPr>
          <w:p w14:paraId="47C832D0" w14:textId="7C57C3CF" w:rsidR="0004033F" w:rsidRPr="0004033F" w:rsidRDefault="0004033F" w:rsidP="0004033F">
            <w:pPr>
              <w:rPr>
                <w:sz w:val="20"/>
                <w:szCs w:val="20"/>
              </w:rPr>
            </w:pPr>
            <w:r w:rsidRPr="0004033F">
              <w:rPr>
                <w:sz w:val="20"/>
                <w:szCs w:val="20"/>
              </w:rPr>
              <w:t>EKV</w:t>
            </w:r>
            <w:r>
              <w:rPr>
                <w:sz w:val="20"/>
                <w:szCs w:val="20"/>
              </w:rPr>
              <w:t>-</w:t>
            </w:r>
            <w:r w:rsidRPr="0004033F">
              <w:rPr>
                <w:sz w:val="20"/>
                <w:szCs w:val="20"/>
              </w:rPr>
              <w:t>1</w:t>
            </w:r>
          </w:p>
        </w:tc>
        <w:tc>
          <w:tcPr>
            <w:tcW w:w="1320" w:type="dxa"/>
            <w:noWrap/>
            <w:hideMark/>
          </w:tcPr>
          <w:p w14:paraId="665221FD" w14:textId="04919A6D" w:rsidR="0004033F" w:rsidRPr="0004033F" w:rsidRDefault="0004033F" w:rsidP="0004033F">
            <w:pPr>
              <w:rPr>
                <w:sz w:val="20"/>
                <w:szCs w:val="20"/>
              </w:rPr>
            </w:pPr>
            <w:r w:rsidRPr="0004033F">
              <w:rPr>
                <w:sz w:val="20"/>
                <w:szCs w:val="20"/>
              </w:rPr>
              <w:t>EKV</w:t>
            </w:r>
            <w:r>
              <w:rPr>
                <w:sz w:val="20"/>
                <w:szCs w:val="20"/>
              </w:rPr>
              <w:t>-</w:t>
            </w:r>
            <w:r w:rsidRPr="0004033F">
              <w:rPr>
                <w:sz w:val="20"/>
                <w:szCs w:val="20"/>
              </w:rPr>
              <w:t>2</w:t>
            </w:r>
          </w:p>
        </w:tc>
        <w:tc>
          <w:tcPr>
            <w:tcW w:w="1320" w:type="dxa"/>
            <w:noWrap/>
            <w:hideMark/>
          </w:tcPr>
          <w:p w14:paraId="77EECB3C" w14:textId="77777777" w:rsidR="0004033F" w:rsidRPr="0004033F" w:rsidRDefault="0004033F" w:rsidP="0004033F">
            <w:pPr>
              <w:rPr>
                <w:sz w:val="20"/>
                <w:szCs w:val="20"/>
              </w:rPr>
            </w:pPr>
            <w:r w:rsidRPr="0004033F">
              <w:rPr>
                <w:sz w:val="20"/>
                <w:szCs w:val="20"/>
              </w:rPr>
              <w:t>BASV</w:t>
            </w:r>
          </w:p>
        </w:tc>
      </w:tr>
      <w:tr w:rsidR="0004033F" w:rsidRPr="0004033F" w14:paraId="37A20078" w14:textId="77777777" w:rsidTr="0004033F">
        <w:trPr>
          <w:trHeight w:val="315"/>
        </w:trPr>
        <w:tc>
          <w:tcPr>
            <w:tcW w:w="1320" w:type="dxa"/>
            <w:noWrap/>
            <w:hideMark/>
          </w:tcPr>
          <w:p w14:paraId="22598C78" w14:textId="77777777" w:rsidR="0004033F" w:rsidRPr="0004033F" w:rsidRDefault="0004033F" w:rsidP="0004033F">
            <w:pPr>
              <w:rPr>
                <w:sz w:val="20"/>
                <w:szCs w:val="20"/>
              </w:rPr>
            </w:pPr>
            <w:r w:rsidRPr="0004033F">
              <w:rPr>
                <w:sz w:val="20"/>
                <w:szCs w:val="20"/>
              </w:rPr>
              <w:t>TIBV</w:t>
            </w:r>
          </w:p>
        </w:tc>
        <w:tc>
          <w:tcPr>
            <w:tcW w:w="1320" w:type="dxa"/>
            <w:noWrap/>
            <w:hideMark/>
          </w:tcPr>
          <w:p w14:paraId="606E9B7A" w14:textId="77777777" w:rsidR="0004033F" w:rsidRPr="0004033F" w:rsidRDefault="0004033F" w:rsidP="0004033F">
            <w:pPr>
              <w:rPr>
                <w:sz w:val="20"/>
                <w:szCs w:val="20"/>
              </w:rPr>
            </w:pPr>
            <w:r w:rsidRPr="0004033F">
              <w:rPr>
                <w:sz w:val="20"/>
                <w:szCs w:val="20"/>
              </w:rPr>
              <w:t>100</w:t>
            </w:r>
          </w:p>
        </w:tc>
        <w:tc>
          <w:tcPr>
            <w:tcW w:w="1320" w:type="dxa"/>
            <w:noWrap/>
            <w:hideMark/>
          </w:tcPr>
          <w:p w14:paraId="0E4F86E4" w14:textId="77777777" w:rsidR="0004033F" w:rsidRPr="0004033F" w:rsidRDefault="0004033F" w:rsidP="0004033F">
            <w:pPr>
              <w:rPr>
                <w:sz w:val="20"/>
                <w:szCs w:val="20"/>
              </w:rPr>
            </w:pPr>
            <w:r w:rsidRPr="0004033F">
              <w:rPr>
                <w:sz w:val="20"/>
                <w:szCs w:val="20"/>
              </w:rPr>
              <w:t> </w:t>
            </w:r>
          </w:p>
        </w:tc>
        <w:tc>
          <w:tcPr>
            <w:tcW w:w="1320" w:type="dxa"/>
            <w:noWrap/>
            <w:hideMark/>
          </w:tcPr>
          <w:p w14:paraId="1BF69E10" w14:textId="77777777" w:rsidR="0004033F" w:rsidRPr="0004033F" w:rsidRDefault="0004033F" w:rsidP="0004033F">
            <w:pPr>
              <w:rPr>
                <w:sz w:val="20"/>
                <w:szCs w:val="20"/>
              </w:rPr>
            </w:pPr>
            <w:r w:rsidRPr="0004033F">
              <w:rPr>
                <w:sz w:val="20"/>
                <w:szCs w:val="20"/>
              </w:rPr>
              <w:t> </w:t>
            </w:r>
          </w:p>
        </w:tc>
        <w:tc>
          <w:tcPr>
            <w:tcW w:w="1320" w:type="dxa"/>
            <w:noWrap/>
            <w:hideMark/>
          </w:tcPr>
          <w:p w14:paraId="5F1A9F5B" w14:textId="77777777" w:rsidR="0004033F" w:rsidRPr="0004033F" w:rsidRDefault="0004033F" w:rsidP="0004033F">
            <w:pPr>
              <w:rPr>
                <w:sz w:val="20"/>
                <w:szCs w:val="20"/>
              </w:rPr>
            </w:pPr>
            <w:r w:rsidRPr="0004033F">
              <w:rPr>
                <w:sz w:val="20"/>
                <w:szCs w:val="20"/>
              </w:rPr>
              <w:t> </w:t>
            </w:r>
          </w:p>
        </w:tc>
        <w:tc>
          <w:tcPr>
            <w:tcW w:w="1320" w:type="dxa"/>
            <w:noWrap/>
            <w:hideMark/>
          </w:tcPr>
          <w:p w14:paraId="1B605435" w14:textId="77777777" w:rsidR="0004033F" w:rsidRPr="0004033F" w:rsidRDefault="0004033F" w:rsidP="0004033F">
            <w:pPr>
              <w:rPr>
                <w:sz w:val="20"/>
                <w:szCs w:val="20"/>
              </w:rPr>
            </w:pPr>
            <w:r w:rsidRPr="0004033F">
              <w:rPr>
                <w:sz w:val="20"/>
                <w:szCs w:val="20"/>
              </w:rPr>
              <w:t> </w:t>
            </w:r>
          </w:p>
        </w:tc>
        <w:tc>
          <w:tcPr>
            <w:tcW w:w="1320" w:type="dxa"/>
            <w:noWrap/>
            <w:hideMark/>
          </w:tcPr>
          <w:p w14:paraId="598B292E" w14:textId="77777777" w:rsidR="0004033F" w:rsidRPr="0004033F" w:rsidRDefault="0004033F" w:rsidP="0004033F">
            <w:pPr>
              <w:rPr>
                <w:sz w:val="20"/>
                <w:szCs w:val="20"/>
              </w:rPr>
            </w:pPr>
            <w:r w:rsidRPr="0004033F">
              <w:rPr>
                <w:sz w:val="20"/>
                <w:szCs w:val="20"/>
              </w:rPr>
              <w:t> </w:t>
            </w:r>
          </w:p>
        </w:tc>
        <w:tc>
          <w:tcPr>
            <w:tcW w:w="1320" w:type="dxa"/>
            <w:noWrap/>
            <w:hideMark/>
          </w:tcPr>
          <w:p w14:paraId="4AB79ED4" w14:textId="77777777" w:rsidR="0004033F" w:rsidRPr="0004033F" w:rsidRDefault="0004033F" w:rsidP="0004033F">
            <w:pPr>
              <w:rPr>
                <w:sz w:val="20"/>
                <w:szCs w:val="20"/>
              </w:rPr>
            </w:pPr>
            <w:r w:rsidRPr="0004033F">
              <w:rPr>
                <w:sz w:val="20"/>
                <w:szCs w:val="20"/>
              </w:rPr>
              <w:t> </w:t>
            </w:r>
          </w:p>
        </w:tc>
        <w:tc>
          <w:tcPr>
            <w:tcW w:w="1320" w:type="dxa"/>
            <w:noWrap/>
            <w:hideMark/>
          </w:tcPr>
          <w:p w14:paraId="0155120C" w14:textId="77777777" w:rsidR="0004033F" w:rsidRPr="0004033F" w:rsidRDefault="0004033F" w:rsidP="0004033F">
            <w:pPr>
              <w:rPr>
                <w:sz w:val="20"/>
                <w:szCs w:val="20"/>
              </w:rPr>
            </w:pPr>
            <w:r w:rsidRPr="0004033F">
              <w:rPr>
                <w:sz w:val="20"/>
                <w:szCs w:val="20"/>
              </w:rPr>
              <w:t> </w:t>
            </w:r>
          </w:p>
        </w:tc>
      </w:tr>
      <w:tr w:rsidR="0004033F" w:rsidRPr="0004033F" w14:paraId="78635357" w14:textId="77777777" w:rsidTr="0004033F">
        <w:trPr>
          <w:trHeight w:val="315"/>
        </w:trPr>
        <w:tc>
          <w:tcPr>
            <w:tcW w:w="1320" w:type="dxa"/>
            <w:noWrap/>
            <w:hideMark/>
          </w:tcPr>
          <w:p w14:paraId="5CF8D894" w14:textId="77777777" w:rsidR="0004033F" w:rsidRPr="0004033F" w:rsidRDefault="0004033F" w:rsidP="0004033F">
            <w:pPr>
              <w:rPr>
                <w:sz w:val="20"/>
                <w:szCs w:val="20"/>
              </w:rPr>
            </w:pPr>
            <w:r w:rsidRPr="0004033F">
              <w:rPr>
                <w:sz w:val="20"/>
                <w:szCs w:val="20"/>
              </w:rPr>
              <w:t>BAV</w:t>
            </w:r>
          </w:p>
        </w:tc>
        <w:tc>
          <w:tcPr>
            <w:tcW w:w="1320" w:type="dxa"/>
            <w:noWrap/>
            <w:hideMark/>
          </w:tcPr>
          <w:p w14:paraId="51999B07" w14:textId="77777777" w:rsidR="0004033F" w:rsidRPr="0004033F" w:rsidRDefault="0004033F" w:rsidP="0004033F">
            <w:pPr>
              <w:rPr>
                <w:sz w:val="20"/>
                <w:szCs w:val="20"/>
              </w:rPr>
            </w:pPr>
            <w:r w:rsidRPr="0004033F">
              <w:rPr>
                <w:sz w:val="20"/>
                <w:szCs w:val="20"/>
              </w:rPr>
              <w:t>96.4</w:t>
            </w:r>
          </w:p>
        </w:tc>
        <w:tc>
          <w:tcPr>
            <w:tcW w:w="1320" w:type="dxa"/>
            <w:noWrap/>
            <w:hideMark/>
          </w:tcPr>
          <w:p w14:paraId="0CDD3FA7" w14:textId="77777777" w:rsidR="0004033F" w:rsidRPr="0004033F" w:rsidRDefault="0004033F" w:rsidP="0004033F">
            <w:pPr>
              <w:rPr>
                <w:sz w:val="20"/>
                <w:szCs w:val="20"/>
              </w:rPr>
            </w:pPr>
            <w:r w:rsidRPr="0004033F">
              <w:rPr>
                <w:sz w:val="20"/>
                <w:szCs w:val="20"/>
              </w:rPr>
              <w:t>100</w:t>
            </w:r>
          </w:p>
        </w:tc>
        <w:tc>
          <w:tcPr>
            <w:tcW w:w="1320" w:type="dxa"/>
            <w:noWrap/>
            <w:hideMark/>
          </w:tcPr>
          <w:p w14:paraId="1EDF908F" w14:textId="77777777" w:rsidR="0004033F" w:rsidRPr="0004033F" w:rsidRDefault="0004033F" w:rsidP="0004033F">
            <w:pPr>
              <w:rPr>
                <w:sz w:val="20"/>
                <w:szCs w:val="20"/>
              </w:rPr>
            </w:pPr>
            <w:r w:rsidRPr="0004033F">
              <w:rPr>
                <w:sz w:val="20"/>
                <w:szCs w:val="20"/>
              </w:rPr>
              <w:t> </w:t>
            </w:r>
          </w:p>
        </w:tc>
        <w:tc>
          <w:tcPr>
            <w:tcW w:w="1320" w:type="dxa"/>
            <w:noWrap/>
            <w:hideMark/>
          </w:tcPr>
          <w:p w14:paraId="01B97BD8" w14:textId="77777777" w:rsidR="0004033F" w:rsidRPr="0004033F" w:rsidRDefault="0004033F" w:rsidP="0004033F">
            <w:pPr>
              <w:rPr>
                <w:sz w:val="20"/>
                <w:szCs w:val="20"/>
              </w:rPr>
            </w:pPr>
            <w:r w:rsidRPr="0004033F">
              <w:rPr>
                <w:sz w:val="20"/>
                <w:szCs w:val="20"/>
              </w:rPr>
              <w:t> </w:t>
            </w:r>
          </w:p>
        </w:tc>
        <w:tc>
          <w:tcPr>
            <w:tcW w:w="1320" w:type="dxa"/>
            <w:noWrap/>
            <w:hideMark/>
          </w:tcPr>
          <w:p w14:paraId="43D0C24B" w14:textId="77777777" w:rsidR="0004033F" w:rsidRPr="0004033F" w:rsidRDefault="0004033F" w:rsidP="0004033F">
            <w:pPr>
              <w:rPr>
                <w:sz w:val="20"/>
                <w:szCs w:val="20"/>
              </w:rPr>
            </w:pPr>
            <w:r w:rsidRPr="0004033F">
              <w:rPr>
                <w:sz w:val="20"/>
                <w:szCs w:val="20"/>
              </w:rPr>
              <w:t> </w:t>
            </w:r>
          </w:p>
        </w:tc>
        <w:tc>
          <w:tcPr>
            <w:tcW w:w="1320" w:type="dxa"/>
            <w:noWrap/>
            <w:hideMark/>
          </w:tcPr>
          <w:p w14:paraId="3ABA9343" w14:textId="77777777" w:rsidR="0004033F" w:rsidRPr="0004033F" w:rsidRDefault="0004033F" w:rsidP="0004033F">
            <w:pPr>
              <w:rPr>
                <w:sz w:val="20"/>
                <w:szCs w:val="20"/>
              </w:rPr>
            </w:pPr>
            <w:r w:rsidRPr="0004033F">
              <w:rPr>
                <w:sz w:val="20"/>
                <w:szCs w:val="20"/>
              </w:rPr>
              <w:t> </w:t>
            </w:r>
          </w:p>
        </w:tc>
        <w:tc>
          <w:tcPr>
            <w:tcW w:w="1320" w:type="dxa"/>
            <w:noWrap/>
            <w:hideMark/>
          </w:tcPr>
          <w:p w14:paraId="22B03DEB" w14:textId="77777777" w:rsidR="0004033F" w:rsidRPr="0004033F" w:rsidRDefault="0004033F" w:rsidP="0004033F">
            <w:pPr>
              <w:rPr>
                <w:sz w:val="20"/>
                <w:szCs w:val="20"/>
              </w:rPr>
            </w:pPr>
            <w:r w:rsidRPr="0004033F">
              <w:rPr>
                <w:sz w:val="20"/>
                <w:szCs w:val="20"/>
              </w:rPr>
              <w:t> </w:t>
            </w:r>
          </w:p>
        </w:tc>
        <w:tc>
          <w:tcPr>
            <w:tcW w:w="1320" w:type="dxa"/>
            <w:noWrap/>
            <w:hideMark/>
          </w:tcPr>
          <w:p w14:paraId="5E442C46" w14:textId="77777777" w:rsidR="0004033F" w:rsidRPr="0004033F" w:rsidRDefault="0004033F" w:rsidP="0004033F">
            <w:pPr>
              <w:rPr>
                <w:sz w:val="20"/>
                <w:szCs w:val="20"/>
              </w:rPr>
            </w:pPr>
            <w:r w:rsidRPr="0004033F">
              <w:rPr>
                <w:sz w:val="20"/>
                <w:szCs w:val="20"/>
              </w:rPr>
              <w:t> </w:t>
            </w:r>
          </w:p>
        </w:tc>
      </w:tr>
      <w:tr w:rsidR="0004033F" w:rsidRPr="0004033F" w14:paraId="08F32FF2" w14:textId="77777777" w:rsidTr="0004033F">
        <w:trPr>
          <w:trHeight w:val="315"/>
        </w:trPr>
        <w:tc>
          <w:tcPr>
            <w:tcW w:w="1320" w:type="dxa"/>
            <w:noWrap/>
            <w:hideMark/>
          </w:tcPr>
          <w:p w14:paraId="15812F9D" w14:textId="77777777" w:rsidR="0004033F" w:rsidRPr="0004033F" w:rsidRDefault="0004033F" w:rsidP="0004033F">
            <w:pPr>
              <w:rPr>
                <w:sz w:val="20"/>
                <w:szCs w:val="20"/>
              </w:rPr>
            </w:pPr>
            <w:r w:rsidRPr="0004033F">
              <w:rPr>
                <w:sz w:val="20"/>
                <w:szCs w:val="20"/>
              </w:rPr>
              <w:t>BHV</w:t>
            </w:r>
          </w:p>
        </w:tc>
        <w:tc>
          <w:tcPr>
            <w:tcW w:w="1320" w:type="dxa"/>
            <w:noWrap/>
            <w:hideMark/>
          </w:tcPr>
          <w:p w14:paraId="180C4905" w14:textId="77777777" w:rsidR="0004033F" w:rsidRPr="0004033F" w:rsidRDefault="0004033F" w:rsidP="0004033F">
            <w:pPr>
              <w:rPr>
                <w:sz w:val="20"/>
                <w:szCs w:val="20"/>
              </w:rPr>
            </w:pPr>
            <w:r w:rsidRPr="0004033F">
              <w:rPr>
                <w:sz w:val="20"/>
                <w:szCs w:val="20"/>
              </w:rPr>
              <w:t>81</w:t>
            </w:r>
          </w:p>
        </w:tc>
        <w:tc>
          <w:tcPr>
            <w:tcW w:w="1320" w:type="dxa"/>
            <w:noWrap/>
            <w:hideMark/>
          </w:tcPr>
          <w:p w14:paraId="2A59F406" w14:textId="77777777" w:rsidR="0004033F" w:rsidRPr="0004033F" w:rsidRDefault="0004033F" w:rsidP="0004033F">
            <w:pPr>
              <w:rPr>
                <w:sz w:val="20"/>
                <w:szCs w:val="20"/>
              </w:rPr>
            </w:pPr>
            <w:r w:rsidRPr="0004033F">
              <w:rPr>
                <w:sz w:val="20"/>
                <w:szCs w:val="20"/>
              </w:rPr>
              <w:t>81.6</w:t>
            </w:r>
          </w:p>
        </w:tc>
        <w:tc>
          <w:tcPr>
            <w:tcW w:w="1320" w:type="dxa"/>
            <w:noWrap/>
            <w:hideMark/>
          </w:tcPr>
          <w:p w14:paraId="57F34E4A" w14:textId="77777777" w:rsidR="0004033F" w:rsidRPr="0004033F" w:rsidRDefault="0004033F" w:rsidP="0004033F">
            <w:pPr>
              <w:rPr>
                <w:sz w:val="20"/>
                <w:szCs w:val="20"/>
              </w:rPr>
            </w:pPr>
            <w:r w:rsidRPr="0004033F">
              <w:rPr>
                <w:sz w:val="20"/>
                <w:szCs w:val="20"/>
              </w:rPr>
              <w:t>100</w:t>
            </w:r>
          </w:p>
        </w:tc>
        <w:tc>
          <w:tcPr>
            <w:tcW w:w="1320" w:type="dxa"/>
            <w:noWrap/>
            <w:hideMark/>
          </w:tcPr>
          <w:p w14:paraId="2C0F4AFF" w14:textId="77777777" w:rsidR="0004033F" w:rsidRPr="0004033F" w:rsidRDefault="0004033F" w:rsidP="0004033F">
            <w:pPr>
              <w:rPr>
                <w:sz w:val="20"/>
                <w:szCs w:val="20"/>
              </w:rPr>
            </w:pPr>
            <w:r w:rsidRPr="0004033F">
              <w:rPr>
                <w:sz w:val="20"/>
                <w:szCs w:val="20"/>
              </w:rPr>
              <w:t> </w:t>
            </w:r>
          </w:p>
        </w:tc>
        <w:tc>
          <w:tcPr>
            <w:tcW w:w="1320" w:type="dxa"/>
            <w:noWrap/>
            <w:hideMark/>
          </w:tcPr>
          <w:p w14:paraId="61BCD181" w14:textId="77777777" w:rsidR="0004033F" w:rsidRPr="0004033F" w:rsidRDefault="0004033F" w:rsidP="0004033F">
            <w:pPr>
              <w:rPr>
                <w:sz w:val="20"/>
                <w:szCs w:val="20"/>
              </w:rPr>
            </w:pPr>
            <w:r w:rsidRPr="0004033F">
              <w:rPr>
                <w:sz w:val="20"/>
                <w:szCs w:val="20"/>
              </w:rPr>
              <w:t> </w:t>
            </w:r>
          </w:p>
        </w:tc>
        <w:tc>
          <w:tcPr>
            <w:tcW w:w="1320" w:type="dxa"/>
            <w:noWrap/>
            <w:hideMark/>
          </w:tcPr>
          <w:p w14:paraId="23BE3CE6" w14:textId="77777777" w:rsidR="0004033F" w:rsidRPr="0004033F" w:rsidRDefault="0004033F" w:rsidP="0004033F">
            <w:pPr>
              <w:rPr>
                <w:sz w:val="20"/>
                <w:szCs w:val="20"/>
              </w:rPr>
            </w:pPr>
            <w:r w:rsidRPr="0004033F">
              <w:rPr>
                <w:sz w:val="20"/>
                <w:szCs w:val="20"/>
              </w:rPr>
              <w:t> </w:t>
            </w:r>
          </w:p>
        </w:tc>
        <w:tc>
          <w:tcPr>
            <w:tcW w:w="1320" w:type="dxa"/>
            <w:noWrap/>
            <w:hideMark/>
          </w:tcPr>
          <w:p w14:paraId="543300C5" w14:textId="77777777" w:rsidR="0004033F" w:rsidRPr="0004033F" w:rsidRDefault="0004033F" w:rsidP="0004033F">
            <w:pPr>
              <w:rPr>
                <w:sz w:val="20"/>
                <w:szCs w:val="20"/>
              </w:rPr>
            </w:pPr>
            <w:r w:rsidRPr="0004033F">
              <w:rPr>
                <w:sz w:val="20"/>
                <w:szCs w:val="20"/>
              </w:rPr>
              <w:t> </w:t>
            </w:r>
          </w:p>
        </w:tc>
        <w:tc>
          <w:tcPr>
            <w:tcW w:w="1320" w:type="dxa"/>
            <w:noWrap/>
            <w:hideMark/>
          </w:tcPr>
          <w:p w14:paraId="43B16EC4" w14:textId="77777777" w:rsidR="0004033F" w:rsidRPr="0004033F" w:rsidRDefault="0004033F" w:rsidP="0004033F">
            <w:pPr>
              <w:rPr>
                <w:sz w:val="20"/>
                <w:szCs w:val="20"/>
              </w:rPr>
            </w:pPr>
            <w:r w:rsidRPr="0004033F">
              <w:rPr>
                <w:sz w:val="20"/>
                <w:szCs w:val="20"/>
              </w:rPr>
              <w:t> </w:t>
            </w:r>
          </w:p>
        </w:tc>
      </w:tr>
      <w:tr w:rsidR="0004033F" w:rsidRPr="0004033F" w14:paraId="4B08E058" w14:textId="77777777" w:rsidTr="0004033F">
        <w:trPr>
          <w:trHeight w:val="315"/>
        </w:trPr>
        <w:tc>
          <w:tcPr>
            <w:tcW w:w="1320" w:type="dxa"/>
            <w:noWrap/>
            <w:hideMark/>
          </w:tcPr>
          <w:p w14:paraId="7483091D" w14:textId="77777777" w:rsidR="0004033F" w:rsidRPr="0004033F" w:rsidRDefault="0004033F" w:rsidP="0004033F">
            <w:pPr>
              <w:rPr>
                <w:sz w:val="20"/>
                <w:szCs w:val="20"/>
              </w:rPr>
            </w:pPr>
            <w:r w:rsidRPr="0004033F">
              <w:rPr>
                <w:sz w:val="20"/>
                <w:szCs w:val="20"/>
              </w:rPr>
              <w:t>SWBV</w:t>
            </w:r>
          </w:p>
        </w:tc>
        <w:tc>
          <w:tcPr>
            <w:tcW w:w="1320" w:type="dxa"/>
            <w:noWrap/>
            <w:hideMark/>
          </w:tcPr>
          <w:p w14:paraId="62019232" w14:textId="77777777" w:rsidR="0004033F" w:rsidRPr="0004033F" w:rsidRDefault="0004033F" w:rsidP="0004033F">
            <w:pPr>
              <w:rPr>
                <w:sz w:val="20"/>
                <w:szCs w:val="20"/>
              </w:rPr>
            </w:pPr>
            <w:r w:rsidRPr="0004033F">
              <w:rPr>
                <w:sz w:val="20"/>
                <w:szCs w:val="20"/>
              </w:rPr>
              <w:t>62.6</w:t>
            </w:r>
          </w:p>
        </w:tc>
        <w:tc>
          <w:tcPr>
            <w:tcW w:w="1320" w:type="dxa"/>
            <w:noWrap/>
            <w:hideMark/>
          </w:tcPr>
          <w:p w14:paraId="71528152" w14:textId="77777777" w:rsidR="0004033F" w:rsidRPr="0004033F" w:rsidRDefault="0004033F" w:rsidP="0004033F">
            <w:pPr>
              <w:rPr>
                <w:sz w:val="20"/>
                <w:szCs w:val="20"/>
              </w:rPr>
            </w:pPr>
            <w:r w:rsidRPr="0004033F">
              <w:rPr>
                <w:sz w:val="20"/>
                <w:szCs w:val="20"/>
              </w:rPr>
              <w:t>62.1</w:t>
            </w:r>
          </w:p>
        </w:tc>
        <w:tc>
          <w:tcPr>
            <w:tcW w:w="1320" w:type="dxa"/>
            <w:noWrap/>
            <w:hideMark/>
          </w:tcPr>
          <w:p w14:paraId="05381BFB" w14:textId="77777777" w:rsidR="0004033F" w:rsidRPr="0004033F" w:rsidRDefault="0004033F" w:rsidP="0004033F">
            <w:pPr>
              <w:rPr>
                <w:sz w:val="20"/>
                <w:szCs w:val="20"/>
              </w:rPr>
            </w:pPr>
            <w:r w:rsidRPr="0004033F">
              <w:rPr>
                <w:sz w:val="20"/>
                <w:szCs w:val="20"/>
              </w:rPr>
              <w:t>61.7</w:t>
            </w:r>
          </w:p>
        </w:tc>
        <w:tc>
          <w:tcPr>
            <w:tcW w:w="1320" w:type="dxa"/>
            <w:noWrap/>
            <w:hideMark/>
          </w:tcPr>
          <w:p w14:paraId="549622F5" w14:textId="77777777" w:rsidR="0004033F" w:rsidRPr="0004033F" w:rsidRDefault="0004033F" w:rsidP="0004033F">
            <w:pPr>
              <w:rPr>
                <w:sz w:val="20"/>
                <w:szCs w:val="20"/>
              </w:rPr>
            </w:pPr>
            <w:r w:rsidRPr="0004033F">
              <w:rPr>
                <w:sz w:val="20"/>
                <w:szCs w:val="20"/>
              </w:rPr>
              <w:t>100</w:t>
            </w:r>
          </w:p>
        </w:tc>
        <w:tc>
          <w:tcPr>
            <w:tcW w:w="1320" w:type="dxa"/>
            <w:noWrap/>
            <w:hideMark/>
          </w:tcPr>
          <w:p w14:paraId="1EC7E261" w14:textId="77777777" w:rsidR="0004033F" w:rsidRPr="0004033F" w:rsidRDefault="0004033F" w:rsidP="0004033F">
            <w:pPr>
              <w:rPr>
                <w:sz w:val="20"/>
                <w:szCs w:val="20"/>
              </w:rPr>
            </w:pPr>
            <w:r w:rsidRPr="0004033F">
              <w:rPr>
                <w:sz w:val="20"/>
                <w:szCs w:val="20"/>
              </w:rPr>
              <w:t> </w:t>
            </w:r>
          </w:p>
        </w:tc>
        <w:tc>
          <w:tcPr>
            <w:tcW w:w="1320" w:type="dxa"/>
            <w:noWrap/>
            <w:hideMark/>
          </w:tcPr>
          <w:p w14:paraId="754460C0" w14:textId="77777777" w:rsidR="0004033F" w:rsidRPr="0004033F" w:rsidRDefault="0004033F" w:rsidP="0004033F">
            <w:pPr>
              <w:rPr>
                <w:sz w:val="20"/>
                <w:szCs w:val="20"/>
              </w:rPr>
            </w:pPr>
            <w:r w:rsidRPr="0004033F">
              <w:rPr>
                <w:sz w:val="20"/>
                <w:szCs w:val="20"/>
              </w:rPr>
              <w:t> </w:t>
            </w:r>
          </w:p>
        </w:tc>
        <w:tc>
          <w:tcPr>
            <w:tcW w:w="1320" w:type="dxa"/>
            <w:noWrap/>
            <w:hideMark/>
          </w:tcPr>
          <w:p w14:paraId="5B40AAD2" w14:textId="77777777" w:rsidR="0004033F" w:rsidRPr="0004033F" w:rsidRDefault="0004033F" w:rsidP="0004033F">
            <w:pPr>
              <w:rPr>
                <w:sz w:val="20"/>
                <w:szCs w:val="20"/>
              </w:rPr>
            </w:pPr>
            <w:r w:rsidRPr="0004033F">
              <w:rPr>
                <w:sz w:val="20"/>
                <w:szCs w:val="20"/>
              </w:rPr>
              <w:t> </w:t>
            </w:r>
          </w:p>
        </w:tc>
        <w:tc>
          <w:tcPr>
            <w:tcW w:w="1320" w:type="dxa"/>
            <w:noWrap/>
            <w:hideMark/>
          </w:tcPr>
          <w:p w14:paraId="5AE62AE8" w14:textId="77777777" w:rsidR="0004033F" w:rsidRPr="0004033F" w:rsidRDefault="0004033F" w:rsidP="0004033F">
            <w:pPr>
              <w:rPr>
                <w:sz w:val="20"/>
                <w:szCs w:val="20"/>
              </w:rPr>
            </w:pPr>
            <w:r w:rsidRPr="0004033F">
              <w:rPr>
                <w:sz w:val="20"/>
                <w:szCs w:val="20"/>
              </w:rPr>
              <w:t> </w:t>
            </w:r>
          </w:p>
        </w:tc>
      </w:tr>
      <w:tr w:rsidR="0004033F" w:rsidRPr="0004033F" w14:paraId="51D34C63" w14:textId="77777777" w:rsidTr="0004033F">
        <w:trPr>
          <w:trHeight w:val="315"/>
        </w:trPr>
        <w:tc>
          <w:tcPr>
            <w:tcW w:w="1320" w:type="dxa"/>
            <w:noWrap/>
            <w:hideMark/>
          </w:tcPr>
          <w:p w14:paraId="2E93768C" w14:textId="77777777" w:rsidR="0004033F" w:rsidRPr="0004033F" w:rsidRDefault="0004033F" w:rsidP="0004033F">
            <w:pPr>
              <w:rPr>
                <w:sz w:val="20"/>
                <w:szCs w:val="20"/>
              </w:rPr>
            </w:pPr>
            <w:r w:rsidRPr="0004033F">
              <w:rPr>
                <w:sz w:val="20"/>
                <w:szCs w:val="20"/>
              </w:rPr>
              <w:t>CPV</w:t>
            </w:r>
          </w:p>
        </w:tc>
        <w:tc>
          <w:tcPr>
            <w:tcW w:w="1320" w:type="dxa"/>
            <w:noWrap/>
            <w:hideMark/>
          </w:tcPr>
          <w:p w14:paraId="6A37A5E2" w14:textId="77777777" w:rsidR="0004033F" w:rsidRPr="0004033F" w:rsidRDefault="0004033F" w:rsidP="0004033F">
            <w:pPr>
              <w:rPr>
                <w:sz w:val="20"/>
                <w:szCs w:val="20"/>
              </w:rPr>
            </w:pPr>
            <w:r w:rsidRPr="0004033F">
              <w:rPr>
                <w:sz w:val="20"/>
                <w:szCs w:val="20"/>
              </w:rPr>
              <w:t>55.1</w:t>
            </w:r>
          </w:p>
        </w:tc>
        <w:tc>
          <w:tcPr>
            <w:tcW w:w="1320" w:type="dxa"/>
            <w:noWrap/>
            <w:hideMark/>
          </w:tcPr>
          <w:p w14:paraId="73E3C4D0" w14:textId="77777777" w:rsidR="0004033F" w:rsidRPr="0004033F" w:rsidRDefault="0004033F" w:rsidP="0004033F">
            <w:pPr>
              <w:rPr>
                <w:sz w:val="20"/>
                <w:szCs w:val="20"/>
              </w:rPr>
            </w:pPr>
            <w:r w:rsidRPr="0004033F">
              <w:rPr>
                <w:sz w:val="20"/>
                <w:szCs w:val="20"/>
              </w:rPr>
              <w:t>55.1</w:t>
            </w:r>
          </w:p>
        </w:tc>
        <w:tc>
          <w:tcPr>
            <w:tcW w:w="1320" w:type="dxa"/>
            <w:noWrap/>
            <w:hideMark/>
          </w:tcPr>
          <w:p w14:paraId="0402471E" w14:textId="77777777" w:rsidR="0004033F" w:rsidRPr="0004033F" w:rsidRDefault="0004033F" w:rsidP="0004033F">
            <w:pPr>
              <w:rPr>
                <w:sz w:val="20"/>
                <w:szCs w:val="20"/>
              </w:rPr>
            </w:pPr>
            <w:r w:rsidRPr="0004033F">
              <w:rPr>
                <w:sz w:val="20"/>
                <w:szCs w:val="20"/>
              </w:rPr>
              <w:t>53.9</w:t>
            </w:r>
          </w:p>
        </w:tc>
        <w:tc>
          <w:tcPr>
            <w:tcW w:w="1320" w:type="dxa"/>
            <w:noWrap/>
            <w:hideMark/>
          </w:tcPr>
          <w:p w14:paraId="666EFE92" w14:textId="77777777" w:rsidR="0004033F" w:rsidRPr="0004033F" w:rsidRDefault="0004033F" w:rsidP="0004033F">
            <w:pPr>
              <w:rPr>
                <w:sz w:val="20"/>
                <w:szCs w:val="20"/>
              </w:rPr>
            </w:pPr>
            <w:r w:rsidRPr="0004033F">
              <w:rPr>
                <w:sz w:val="20"/>
                <w:szCs w:val="20"/>
              </w:rPr>
              <w:t>55.7</w:t>
            </w:r>
          </w:p>
        </w:tc>
        <w:tc>
          <w:tcPr>
            <w:tcW w:w="1320" w:type="dxa"/>
            <w:noWrap/>
            <w:hideMark/>
          </w:tcPr>
          <w:p w14:paraId="4B291B7A" w14:textId="77777777" w:rsidR="0004033F" w:rsidRPr="0004033F" w:rsidRDefault="0004033F" w:rsidP="0004033F">
            <w:pPr>
              <w:rPr>
                <w:sz w:val="20"/>
                <w:szCs w:val="20"/>
              </w:rPr>
            </w:pPr>
            <w:r w:rsidRPr="0004033F">
              <w:rPr>
                <w:sz w:val="20"/>
                <w:szCs w:val="20"/>
              </w:rPr>
              <w:t>100</w:t>
            </w:r>
          </w:p>
        </w:tc>
        <w:tc>
          <w:tcPr>
            <w:tcW w:w="1320" w:type="dxa"/>
            <w:noWrap/>
            <w:hideMark/>
          </w:tcPr>
          <w:p w14:paraId="030FFB81" w14:textId="77777777" w:rsidR="0004033F" w:rsidRPr="0004033F" w:rsidRDefault="0004033F" w:rsidP="0004033F">
            <w:pPr>
              <w:rPr>
                <w:sz w:val="20"/>
                <w:szCs w:val="20"/>
              </w:rPr>
            </w:pPr>
            <w:r w:rsidRPr="0004033F">
              <w:rPr>
                <w:sz w:val="20"/>
                <w:szCs w:val="20"/>
              </w:rPr>
              <w:t> </w:t>
            </w:r>
          </w:p>
        </w:tc>
        <w:tc>
          <w:tcPr>
            <w:tcW w:w="1320" w:type="dxa"/>
            <w:noWrap/>
            <w:hideMark/>
          </w:tcPr>
          <w:p w14:paraId="173031B9" w14:textId="77777777" w:rsidR="0004033F" w:rsidRPr="0004033F" w:rsidRDefault="0004033F" w:rsidP="0004033F">
            <w:pPr>
              <w:rPr>
                <w:sz w:val="20"/>
                <w:szCs w:val="20"/>
              </w:rPr>
            </w:pPr>
            <w:r w:rsidRPr="0004033F">
              <w:rPr>
                <w:sz w:val="20"/>
                <w:szCs w:val="20"/>
              </w:rPr>
              <w:t> </w:t>
            </w:r>
          </w:p>
        </w:tc>
        <w:tc>
          <w:tcPr>
            <w:tcW w:w="1320" w:type="dxa"/>
            <w:noWrap/>
            <w:hideMark/>
          </w:tcPr>
          <w:p w14:paraId="2EF03FFB" w14:textId="77777777" w:rsidR="0004033F" w:rsidRPr="0004033F" w:rsidRDefault="0004033F" w:rsidP="0004033F">
            <w:pPr>
              <w:rPr>
                <w:sz w:val="20"/>
                <w:szCs w:val="20"/>
              </w:rPr>
            </w:pPr>
            <w:r w:rsidRPr="0004033F">
              <w:rPr>
                <w:sz w:val="20"/>
                <w:szCs w:val="20"/>
              </w:rPr>
              <w:t> </w:t>
            </w:r>
          </w:p>
        </w:tc>
      </w:tr>
      <w:tr w:rsidR="0004033F" w:rsidRPr="0004033F" w14:paraId="0A49F544" w14:textId="77777777" w:rsidTr="0004033F">
        <w:trPr>
          <w:trHeight w:val="315"/>
        </w:trPr>
        <w:tc>
          <w:tcPr>
            <w:tcW w:w="1320" w:type="dxa"/>
            <w:noWrap/>
            <w:hideMark/>
          </w:tcPr>
          <w:p w14:paraId="32264164" w14:textId="605E3961" w:rsidR="0004033F" w:rsidRPr="0004033F" w:rsidRDefault="0004033F" w:rsidP="0004033F">
            <w:pPr>
              <w:rPr>
                <w:sz w:val="20"/>
                <w:szCs w:val="20"/>
              </w:rPr>
            </w:pPr>
            <w:r w:rsidRPr="0004033F">
              <w:rPr>
                <w:sz w:val="20"/>
                <w:szCs w:val="20"/>
              </w:rPr>
              <w:t>EKV</w:t>
            </w:r>
            <w:r>
              <w:rPr>
                <w:sz w:val="20"/>
                <w:szCs w:val="20"/>
              </w:rPr>
              <w:t>-</w:t>
            </w:r>
            <w:r w:rsidRPr="0004033F">
              <w:rPr>
                <w:sz w:val="20"/>
                <w:szCs w:val="20"/>
              </w:rPr>
              <w:t>1</w:t>
            </w:r>
          </w:p>
        </w:tc>
        <w:tc>
          <w:tcPr>
            <w:tcW w:w="1320" w:type="dxa"/>
            <w:noWrap/>
            <w:hideMark/>
          </w:tcPr>
          <w:p w14:paraId="00A7617D" w14:textId="77777777" w:rsidR="0004033F" w:rsidRPr="0004033F" w:rsidRDefault="0004033F" w:rsidP="0004033F">
            <w:pPr>
              <w:rPr>
                <w:sz w:val="20"/>
                <w:szCs w:val="20"/>
              </w:rPr>
            </w:pPr>
            <w:r w:rsidRPr="0004033F">
              <w:rPr>
                <w:sz w:val="20"/>
                <w:szCs w:val="20"/>
              </w:rPr>
              <w:t>32.4</w:t>
            </w:r>
          </w:p>
        </w:tc>
        <w:tc>
          <w:tcPr>
            <w:tcW w:w="1320" w:type="dxa"/>
            <w:noWrap/>
            <w:hideMark/>
          </w:tcPr>
          <w:p w14:paraId="3053A8D1" w14:textId="77777777" w:rsidR="0004033F" w:rsidRPr="0004033F" w:rsidRDefault="0004033F" w:rsidP="0004033F">
            <w:pPr>
              <w:rPr>
                <w:sz w:val="20"/>
                <w:szCs w:val="20"/>
              </w:rPr>
            </w:pPr>
            <w:r w:rsidRPr="0004033F">
              <w:rPr>
                <w:sz w:val="20"/>
                <w:szCs w:val="20"/>
              </w:rPr>
              <w:t>32.7</w:t>
            </w:r>
          </w:p>
        </w:tc>
        <w:tc>
          <w:tcPr>
            <w:tcW w:w="1320" w:type="dxa"/>
            <w:noWrap/>
            <w:hideMark/>
          </w:tcPr>
          <w:p w14:paraId="14801A71" w14:textId="77777777" w:rsidR="0004033F" w:rsidRPr="0004033F" w:rsidRDefault="0004033F" w:rsidP="0004033F">
            <w:pPr>
              <w:rPr>
                <w:sz w:val="20"/>
                <w:szCs w:val="20"/>
              </w:rPr>
            </w:pPr>
            <w:r w:rsidRPr="0004033F">
              <w:rPr>
                <w:sz w:val="20"/>
                <w:szCs w:val="20"/>
              </w:rPr>
              <w:t>32.5</w:t>
            </w:r>
          </w:p>
        </w:tc>
        <w:tc>
          <w:tcPr>
            <w:tcW w:w="1320" w:type="dxa"/>
            <w:noWrap/>
            <w:hideMark/>
          </w:tcPr>
          <w:p w14:paraId="11832F17" w14:textId="77777777" w:rsidR="0004033F" w:rsidRPr="0004033F" w:rsidRDefault="0004033F" w:rsidP="0004033F">
            <w:pPr>
              <w:rPr>
                <w:sz w:val="20"/>
                <w:szCs w:val="20"/>
              </w:rPr>
            </w:pPr>
            <w:r w:rsidRPr="0004033F">
              <w:rPr>
                <w:sz w:val="20"/>
                <w:szCs w:val="20"/>
              </w:rPr>
              <w:t>31.2</w:t>
            </w:r>
          </w:p>
        </w:tc>
        <w:tc>
          <w:tcPr>
            <w:tcW w:w="1320" w:type="dxa"/>
            <w:noWrap/>
            <w:hideMark/>
          </w:tcPr>
          <w:p w14:paraId="70B252DE" w14:textId="77777777" w:rsidR="0004033F" w:rsidRPr="0004033F" w:rsidRDefault="0004033F" w:rsidP="0004033F">
            <w:pPr>
              <w:rPr>
                <w:sz w:val="20"/>
                <w:szCs w:val="20"/>
              </w:rPr>
            </w:pPr>
            <w:r w:rsidRPr="0004033F">
              <w:rPr>
                <w:sz w:val="20"/>
                <w:szCs w:val="20"/>
              </w:rPr>
              <w:t>29.8</w:t>
            </w:r>
          </w:p>
        </w:tc>
        <w:tc>
          <w:tcPr>
            <w:tcW w:w="1320" w:type="dxa"/>
            <w:noWrap/>
            <w:hideMark/>
          </w:tcPr>
          <w:p w14:paraId="0421F81D" w14:textId="77777777" w:rsidR="0004033F" w:rsidRPr="0004033F" w:rsidRDefault="0004033F" w:rsidP="0004033F">
            <w:pPr>
              <w:rPr>
                <w:sz w:val="20"/>
                <w:szCs w:val="20"/>
              </w:rPr>
            </w:pPr>
            <w:r w:rsidRPr="0004033F">
              <w:rPr>
                <w:sz w:val="20"/>
                <w:szCs w:val="20"/>
              </w:rPr>
              <w:t>100</w:t>
            </w:r>
          </w:p>
        </w:tc>
        <w:tc>
          <w:tcPr>
            <w:tcW w:w="1320" w:type="dxa"/>
            <w:noWrap/>
            <w:hideMark/>
          </w:tcPr>
          <w:p w14:paraId="26382A28" w14:textId="77777777" w:rsidR="0004033F" w:rsidRPr="0004033F" w:rsidRDefault="0004033F" w:rsidP="0004033F">
            <w:pPr>
              <w:rPr>
                <w:sz w:val="20"/>
                <w:szCs w:val="20"/>
              </w:rPr>
            </w:pPr>
            <w:r w:rsidRPr="0004033F">
              <w:rPr>
                <w:sz w:val="20"/>
                <w:szCs w:val="20"/>
              </w:rPr>
              <w:t> </w:t>
            </w:r>
          </w:p>
        </w:tc>
        <w:tc>
          <w:tcPr>
            <w:tcW w:w="1320" w:type="dxa"/>
            <w:noWrap/>
            <w:hideMark/>
          </w:tcPr>
          <w:p w14:paraId="53B60E28" w14:textId="77777777" w:rsidR="0004033F" w:rsidRPr="0004033F" w:rsidRDefault="0004033F" w:rsidP="0004033F">
            <w:pPr>
              <w:rPr>
                <w:sz w:val="20"/>
                <w:szCs w:val="20"/>
              </w:rPr>
            </w:pPr>
            <w:r w:rsidRPr="0004033F">
              <w:rPr>
                <w:sz w:val="20"/>
                <w:szCs w:val="20"/>
              </w:rPr>
              <w:t> </w:t>
            </w:r>
          </w:p>
        </w:tc>
      </w:tr>
      <w:tr w:rsidR="0004033F" w:rsidRPr="0004033F" w14:paraId="4A16395E" w14:textId="77777777" w:rsidTr="0004033F">
        <w:trPr>
          <w:trHeight w:val="315"/>
        </w:trPr>
        <w:tc>
          <w:tcPr>
            <w:tcW w:w="1320" w:type="dxa"/>
            <w:noWrap/>
            <w:hideMark/>
          </w:tcPr>
          <w:p w14:paraId="5252F849" w14:textId="2288B3D2" w:rsidR="0004033F" w:rsidRPr="0004033F" w:rsidRDefault="0004033F" w:rsidP="0004033F">
            <w:pPr>
              <w:rPr>
                <w:sz w:val="20"/>
                <w:szCs w:val="20"/>
              </w:rPr>
            </w:pPr>
            <w:r w:rsidRPr="0004033F">
              <w:rPr>
                <w:sz w:val="20"/>
                <w:szCs w:val="20"/>
              </w:rPr>
              <w:t>EKV</w:t>
            </w:r>
            <w:r>
              <w:rPr>
                <w:sz w:val="20"/>
                <w:szCs w:val="20"/>
              </w:rPr>
              <w:t>-</w:t>
            </w:r>
            <w:r w:rsidRPr="0004033F">
              <w:rPr>
                <w:sz w:val="20"/>
                <w:szCs w:val="20"/>
              </w:rPr>
              <w:t>2</w:t>
            </w:r>
          </w:p>
        </w:tc>
        <w:tc>
          <w:tcPr>
            <w:tcW w:w="1320" w:type="dxa"/>
            <w:noWrap/>
            <w:hideMark/>
          </w:tcPr>
          <w:p w14:paraId="540BE667" w14:textId="77777777" w:rsidR="0004033F" w:rsidRPr="0004033F" w:rsidRDefault="0004033F" w:rsidP="0004033F">
            <w:pPr>
              <w:rPr>
                <w:sz w:val="20"/>
                <w:szCs w:val="20"/>
              </w:rPr>
            </w:pPr>
            <w:r w:rsidRPr="0004033F">
              <w:rPr>
                <w:sz w:val="20"/>
                <w:szCs w:val="20"/>
              </w:rPr>
              <w:t>28.7</w:t>
            </w:r>
          </w:p>
        </w:tc>
        <w:tc>
          <w:tcPr>
            <w:tcW w:w="1320" w:type="dxa"/>
            <w:noWrap/>
            <w:hideMark/>
          </w:tcPr>
          <w:p w14:paraId="6792EE1C" w14:textId="77777777" w:rsidR="0004033F" w:rsidRPr="0004033F" w:rsidRDefault="0004033F" w:rsidP="0004033F">
            <w:pPr>
              <w:rPr>
                <w:sz w:val="20"/>
                <w:szCs w:val="20"/>
              </w:rPr>
            </w:pPr>
            <w:r w:rsidRPr="0004033F">
              <w:rPr>
                <w:sz w:val="20"/>
                <w:szCs w:val="20"/>
              </w:rPr>
              <w:t>29.2</w:t>
            </w:r>
          </w:p>
        </w:tc>
        <w:tc>
          <w:tcPr>
            <w:tcW w:w="1320" w:type="dxa"/>
            <w:noWrap/>
            <w:hideMark/>
          </w:tcPr>
          <w:p w14:paraId="0AC58935" w14:textId="77777777" w:rsidR="0004033F" w:rsidRPr="0004033F" w:rsidRDefault="0004033F" w:rsidP="0004033F">
            <w:pPr>
              <w:rPr>
                <w:sz w:val="20"/>
                <w:szCs w:val="20"/>
              </w:rPr>
            </w:pPr>
            <w:r w:rsidRPr="0004033F">
              <w:rPr>
                <w:sz w:val="20"/>
                <w:szCs w:val="20"/>
              </w:rPr>
              <w:t>29.1</w:t>
            </w:r>
          </w:p>
        </w:tc>
        <w:tc>
          <w:tcPr>
            <w:tcW w:w="1320" w:type="dxa"/>
            <w:noWrap/>
            <w:hideMark/>
          </w:tcPr>
          <w:p w14:paraId="572D7258" w14:textId="77777777" w:rsidR="0004033F" w:rsidRPr="0004033F" w:rsidRDefault="0004033F" w:rsidP="0004033F">
            <w:pPr>
              <w:rPr>
                <w:sz w:val="20"/>
                <w:szCs w:val="20"/>
              </w:rPr>
            </w:pPr>
            <w:r w:rsidRPr="0004033F">
              <w:rPr>
                <w:sz w:val="20"/>
                <w:szCs w:val="20"/>
              </w:rPr>
              <w:t>27.3</w:t>
            </w:r>
          </w:p>
        </w:tc>
        <w:tc>
          <w:tcPr>
            <w:tcW w:w="1320" w:type="dxa"/>
            <w:noWrap/>
            <w:hideMark/>
          </w:tcPr>
          <w:p w14:paraId="05888DBD" w14:textId="77777777" w:rsidR="0004033F" w:rsidRPr="0004033F" w:rsidRDefault="0004033F" w:rsidP="0004033F">
            <w:pPr>
              <w:rPr>
                <w:sz w:val="20"/>
                <w:szCs w:val="20"/>
              </w:rPr>
            </w:pPr>
            <w:r w:rsidRPr="0004033F">
              <w:rPr>
                <w:sz w:val="20"/>
                <w:szCs w:val="20"/>
              </w:rPr>
              <w:t>28.3</w:t>
            </w:r>
          </w:p>
        </w:tc>
        <w:tc>
          <w:tcPr>
            <w:tcW w:w="1320" w:type="dxa"/>
            <w:noWrap/>
            <w:hideMark/>
          </w:tcPr>
          <w:p w14:paraId="62B2311F" w14:textId="77777777" w:rsidR="0004033F" w:rsidRPr="0004033F" w:rsidRDefault="0004033F" w:rsidP="0004033F">
            <w:pPr>
              <w:rPr>
                <w:sz w:val="20"/>
                <w:szCs w:val="20"/>
              </w:rPr>
            </w:pPr>
            <w:r w:rsidRPr="0004033F">
              <w:rPr>
                <w:sz w:val="20"/>
                <w:szCs w:val="20"/>
              </w:rPr>
              <w:t>23.3</w:t>
            </w:r>
          </w:p>
        </w:tc>
        <w:tc>
          <w:tcPr>
            <w:tcW w:w="1320" w:type="dxa"/>
            <w:noWrap/>
            <w:hideMark/>
          </w:tcPr>
          <w:p w14:paraId="69136B92" w14:textId="77777777" w:rsidR="0004033F" w:rsidRPr="0004033F" w:rsidRDefault="0004033F" w:rsidP="0004033F">
            <w:pPr>
              <w:rPr>
                <w:sz w:val="20"/>
                <w:szCs w:val="20"/>
              </w:rPr>
            </w:pPr>
            <w:r w:rsidRPr="0004033F">
              <w:rPr>
                <w:sz w:val="20"/>
                <w:szCs w:val="20"/>
              </w:rPr>
              <w:t>100</w:t>
            </w:r>
          </w:p>
        </w:tc>
        <w:tc>
          <w:tcPr>
            <w:tcW w:w="1320" w:type="dxa"/>
            <w:noWrap/>
            <w:hideMark/>
          </w:tcPr>
          <w:p w14:paraId="29129CCD" w14:textId="77777777" w:rsidR="0004033F" w:rsidRPr="0004033F" w:rsidRDefault="0004033F" w:rsidP="0004033F">
            <w:pPr>
              <w:rPr>
                <w:sz w:val="20"/>
                <w:szCs w:val="20"/>
              </w:rPr>
            </w:pPr>
            <w:r w:rsidRPr="0004033F">
              <w:rPr>
                <w:sz w:val="20"/>
                <w:szCs w:val="20"/>
              </w:rPr>
              <w:t> </w:t>
            </w:r>
          </w:p>
        </w:tc>
      </w:tr>
      <w:tr w:rsidR="0004033F" w:rsidRPr="0004033F" w14:paraId="39921A27" w14:textId="77777777" w:rsidTr="0004033F">
        <w:trPr>
          <w:trHeight w:val="315"/>
        </w:trPr>
        <w:tc>
          <w:tcPr>
            <w:tcW w:w="1320" w:type="dxa"/>
            <w:noWrap/>
            <w:hideMark/>
          </w:tcPr>
          <w:p w14:paraId="51A39D45" w14:textId="77777777" w:rsidR="0004033F" w:rsidRPr="0004033F" w:rsidRDefault="0004033F" w:rsidP="0004033F">
            <w:pPr>
              <w:rPr>
                <w:sz w:val="20"/>
                <w:szCs w:val="20"/>
              </w:rPr>
            </w:pPr>
            <w:r w:rsidRPr="0004033F">
              <w:rPr>
                <w:sz w:val="20"/>
                <w:szCs w:val="20"/>
              </w:rPr>
              <w:t>BASV</w:t>
            </w:r>
          </w:p>
        </w:tc>
        <w:tc>
          <w:tcPr>
            <w:tcW w:w="1320" w:type="dxa"/>
            <w:noWrap/>
            <w:hideMark/>
          </w:tcPr>
          <w:p w14:paraId="0CD53CE8" w14:textId="77777777" w:rsidR="0004033F" w:rsidRPr="0004033F" w:rsidRDefault="0004033F" w:rsidP="0004033F">
            <w:pPr>
              <w:rPr>
                <w:sz w:val="20"/>
                <w:szCs w:val="20"/>
              </w:rPr>
            </w:pPr>
            <w:r w:rsidRPr="0004033F">
              <w:rPr>
                <w:sz w:val="20"/>
                <w:szCs w:val="20"/>
              </w:rPr>
              <w:t>28.1</w:t>
            </w:r>
          </w:p>
        </w:tc>
        <w:tc>
          <w:tcPr>
            <w:tcW w:w="1320" w:type="dxa"/>
            <w:noWrap/>
            <w:hideMark/>
          </w:tcPr>
          <w:p w14:paraId="6B8E45C7" w14:textId="77777777" w:rsidR="0004033F" w:rsidRPr="0004033F" w:rsidRDefault="0004033F" w:rsidP="0004033F">
            <w:pPr>
              <w:rPr>
                <w:sz w:val="20"/>
                <w:szCs w:val="20"/>
              </w:rPr>
            </w:pPr>
            <w:r w:rsidRPr="0004033F">
              <w:rPr>
                <w:sz w:val="20"/>
                <w:szCs w:val="20"/>
              </w:rPr>
              <w:t>28.2</w:t>
            </w:r>
          </w:p>
        </w:tc>
        <w:tc>
          <w:tcPr>
            <w:tcW w:w="1320" w:type="dxa"/>
            <w:noWrap/>
            <w:hideMark/>
          </w:tcPr>
          <w:p w14:paraId="4C17D7A8" w14:textId="77777777" w:rsidR="0004033F" w:rsidRPr="0004033F" w:rsidRDefault="0004033F" w:rsidP="0004033F">
            <w:pPr>
              <w:rPr>
                <w:sz w:val="20"/>
                <w:szCs w:val="20"/>
              </w:rPr>
            </w:pPr>
            <w:r w:rsidRPr="0004033F">
              <w:rPr>
                <w:sz w:val="20"/>
                <w:szCs w:val="20"/>
              </w:rPr>
              <w:t>28.1</w:t>
            </w:r>
          </w:p>
        </w:tc>
        <w:tc>
          <w:tcPr>
            <w:tcW w:w="1320" w:type="dxa"/>
            <w:noWrap/>
            <w:hideMark/>
          </w:tcPr>
          <w:p w14:paraId="49B92551" w14:textId="77777777" w:rsidR="0004033F" w:rsidRPr="0004033F" w:rsidRDefault="0004033F" w:rsidP="0004033F">
            <w:pPr>
              <w:rPr>
                <w:sz w:val="20"/>
                <w:szCs w:val="20"/>
              </w:rPr>
            </w:pPr>
            <w:r w:rsidRPr="0004033F">
              <w:rPr>
                <w:sz w:val="20"/>
                <w:szCs w:val="20"/>
              </w:rPr>
              <w:t>26.1</w:t>
            </w:r>
          </w:p>
        </w:tc>
        <w:tc>
          <w:tcPr>
            <w:tcW w:w="1320" w:type="dxa"/>
            <w:noWrap/>
            <w:hideMark/>
          </w:tcPr>
          <w:p w14:paraId="5ED973BC" w14:textId="77777777" w:rsidR="0004033F" w:rsidRPr="0004033F" w:rsidRDefault="0004033F" w:rsidP="0004033F">
            <w:pPr>
              <w:rPr>
                <w:sz w:val="20"/>
                <w:szCs w:val="20"/>
              </w:rPr>
            </w:pPr>
            <w:r w:rsidRPr="0004033F">
              <w:rPr>
                <w:sz w:val="20"/>
                <w:szCs w:val="20"/>
              </w:rPr>
              <w:t>25.9</w:t>
            </w:r>
          </w:p>
        </w:tc>
        <w:tc>
          <w:tcPr>
            <w:tcW w:w="1320" w:type="dxa"/>
            <w:noWrap/>
            <w:hideMark/>
          </w:tcPr>
          <w:p w14:paraId="5739CEEF" w14:textId="77777777" w:rsidR="0004033F" w:rsidRPr="0004033F" w:rsidRDefault="0004033F" w:rsidP="0004033F">
            <w:pPr>
              <w:rPr>
                <w:sz w:val="20"/>
                <w:szCs w:val="20"/>
              </w:rPr>
            </w:pPr>
            <w:r w:rsidRPr="0004033F">
              <w:rPr>
                <w:sz w:val="20"/>
                <w:szCs w:val="20"/>
              </w:rPr>
              <w:t>27.4</w:t>
            </w:r>
          </w:p>
        </w:tc>
        <w:tc>
          <w:tcPr>
            <w:tcW w:w="1320" w:type="dxa"/>
            <w:noWrap/>
            <w:hideMark/>
          </w:tcPr>
          <w:p w14:paraId="5FC48648" w14:textId="77777777" w:rsidR="0004033F" w:rsidRPr="0004033F" w:rsidRDefault="0004033F" w:rsidP="0004033F">
            <w:pPr>
              <w:rPr>
                <w:sz w:val="20"/>
                <w:szCs w:val="20"/>
              </w:rPr>
            </w:pPr>
            <w:r w:rsidRPr="0004033F">
              <w:rPr>
                <w:sz w:val="20"/>
                <w:szCs w:val="20"/>
              </w:rPr>
              <w:t>32.7</w:t>
            </w:r>
          </w:p>
        </w:tc>
        <w:tc>
          <w:tcPr>
            <w:tcW w:w="1320" w:type="dxa"/>
            <w:noWrap/>
            <w:hideMark/>
          </w:tcPr>
          <w:p w14:paraId="116061BC" w14:textId="77777777" w:rsidR="0004033F" w:rsidRPr="0004033F" w:rsidRDefault="0004033F" w:rsidP="0004033F">
            <w:pPr>
              <w:rPr>
                <w:sz w:val="20"/>
                <w:szCs w:val="20"/>
              </w:rPr>
            </w:pPr>
            <w:r w:rsidRPr="0004033F">
              <w:rPr>
                <w:sz w:val="20"/>
                <w:szCs w:val="20"/>
              </w:rPr>
              <w:t>100</w:t>
            </w:r>
          </w:p>
        </w:tc>
      </w:tr>
    </w:tbl>
    <w:p w14:paraId="4BAA3DCA" w14:textId="4DB04EEA" w:rsidR="00736018" w:rsidRPr="0004033F" w:rsidRDefault="00736018">
      <w:pPr>
        <w:rPr>
          <w:sz w:val="20"/>
          <w:szCs w:val="20"/>
        </w:rPr>
      </w:pPr>
    </w:p>
    <w:p w14:paraId="7FD05898" w14:textId="769DB680" w:rsidR="0004033F" w:rsidRPr="0004033F" w:rsidRDefault="0004033F">
      <w:pPr>
        <w:rPr>
          <w:sz w:val="20"/>
          <w:szCs w:val="20"/>
        </w:rPr>
      </w:pPr>
    </w:p>
    <w:p w14:paraId="1B6F327B" w14:textId="780A4023" w:rsidR="0004033F" w:rsidRPr="0004033F" w:rsidRDefault="0004033F">
      <w:pPr>
        <w:rPr>
          <w:b/>
          <w:sz w:val="20"/>
          <w:szCs w:val="20"/>
        </w:rPr>
      </w:pPr>
      <w:r w:rsidRPr="0004033F">
        <w:rPr>
          <w:b/>
          <w:sz w:val="20"/>
          <w:szCs w:val="20"/>
        </w:rPr>
        <w:t>Table 3. Amino acid sequence identities of tibrovirus L protein sequences as determined in Geneious 10.2.3.</w:t>
      </w:r>
    </w:p>
    <w:tbl>
      <w:tblPr>
        <w:tblStyle w:val="TableGrid"/>
        <w:tblW w:w="0" w:type="auto"/>
        <w:tblLook w:val="04A0" w:firstRow="1" w:lastRow="0" w:firstColumn="1" w:lastColumn="0" w:noHBand="0" w:noVBand="1"/>
      </w:tblPr>
      <w:tblGrid>
        <w:gridCol w:w="1076"/>
        <w:gridCol w:w="1076"/>
        <w:gridCol w:w="1075"/>
        <w:gridCol w:w="1075"/>
        <w:gridCol w:w="1075"/>
        <w:gridCol w:w="1075"/>
        <w:gridCol w:w="1075"/>
        <w:gridCol w:w="1075"/>
        <w:gridCol w:w="1075"/>
      </w:tblGrid>
      <w:tr w:rsidR="0004033F" w:rsidRPr="0004033F" w14:paraId="629B9848" w14:textId="77777777" w:rsidTr="0004033F">
        <w:trPr>
          <w:trHeight w:val="315"/>
        </w:trPr>
        <w:tc>
          <w:tcPr>
            <w:tcW w:w="1320" w:type="dxa"/>
            <w:noWrap/>
            <w:hideMark/>
          </w:tcPr>
          <w:p w14:paraId="12754B42" w14:textId="77777777" w:rsidR="0004033F" w:rsidRPr="0004033F" w:rsidRDefault="0004033F" w:rsidP="0004033F">
            <w:pPr>
              <w:rPr>
                <w:sz w:val="20"/>
                <w:szCs w:val="20"/>
              </w:rPr>
            </w:pPr>
            <w:r w:rsidRPr="0004033F">
              <w:rPr>
                <w:sz w:val="20"/>
                <w:szCs w:val="20"/>
              </w:rPr>
              <w:t> </w:t>
            </w:r>
          </w:p>
        </w:tc>
        <w:tc>
          <w:tcPr>
            <w:tcW w:w="1320" w:type="dxa"/>
            <w:noWrap/>
            <w:hideMark/>
          </w:tcPr>
          <w:p w14:paraId="38D4EA29" w14:textId="77777777" w:rsidR="0004033F" w:rsidRPr="0004033F" w:rsidRDefault="0004033F" w:rsidP="0004033F">
            <w:pPr>
              <w:rPr>
                <w:sz w:val="20"/>
                <w:szCs w:val="20"/>
              </w:rPr>
            </w:pPr>
            <w:r w:rsidRPr="0004033F">
              <w:rPr>
                <w:sz w:val="20"/>
                <w:szCs w:val="20"/>
              </w:rPr>
              <w:t>TIBV</w:t>
            </w:r>
          </w:p>
        </w:tc>
        <w:tc>
          <w:tcPr>
            <w:tcW w:w="1320" w:type="dxa"/>
            <w:noWrap/>
            <w:hideMark/>
          </w:tcPr>
          <w:p w14:paraId="5B27EFCC" w14:textId="77777777" w:rsidR="0004033F" w:rsidRPr="0004033F" w:rsidRDefault="0004033F" w:rsidP="0004033F">
            <w:pPr>
              <w:rPr>
                <w:sz w:val="20"/>
                <w:szCs w:val="20"/>
              </w:rPr>
            </w:pPr>
            <w:r w:rsidRPr="0004033F">
              <w:rPr>
                <w:sz w:val="20"/>
                <w:szCs w:val="20"/>
              </w:rPr>
              <w:t>BAV</w:t>
            </w:r>
          </w:p>
        </w:tc>
        <w:tc>
          <w:tcPr>
            <w:tcW w:w="1320" w:type="dxa"/>
            <w:noWrap/>
            <w:hideMark/>
          </w:tcPr>
          <w:p w14:paraId="26275B33" w14:textId="77777777" w:rsidR="0004033F" w:rsidRPr="0004033F" w:rsidRDefault="0004033F" w:rsidP="0004033F">
            <w:pPr>
              <w:rPr>
                <w:sz w:val="20"/>
                <w:szCs w:val="20"/>
              </w:rPr>
            </w:pPr>
            <w:r w:rsidRPr="0004033F">
              <w:rPr>
                <w:sz w:val="20"/>
                <w:szCs w:val="20"/>
              </w:rPr>
              <w:t>BHV</w:t>
            </w:r>
          </w:p>
        </w:tc>
        <w:tc>
          <w:tcPr>
            <w:tcW w:w="1320" w:type="dxa"/>
            <w:noWrap/>
            <w:hideMark/>
          </w:tcPr>
          <w:p w14:paraId="4EE27131" w14:textId="77777777" w:rsidR="0004033F" w:rsidRPr="0004033F" w:rsidRDefault="0004033F" w:rsidP="0004033F">
            <w:pPr>
              <w:rPr>
                <w:sz w:val="20"/>
                <w:szCs w:val="20"/>
              </w:rPr>
            </w:pPr>
            <w:r w:rsidRPr="0004033F">
              <w:rPr>
                <w:sz w:val="20"/>
                <w:szCs w:val="20"/>
              </w:rPr>
              <w:t>SWBV</w:t>
            </w:r>
          </w:p>
        </w:tc>
        <w:tc>
          <w:tcPr>
            <w:tcW w:w="1320" w:type="dxa"/>
            <w:noWrap/>
            <w:hideMark/>
          </w:tcPr>
          <w:p w14:paraId="601D5172" w14:textId="77777777" w:rsidR="0004033F" w:rsidRPr="0004033F" w:rsidRDefault="0004033F" w:rsidP="0004033F">
            <w:pPr>
              <w:rPr>
                <w:sz w:val="20"/>
                <w:szCs w:val="20"/>
              </w:rPr>
            </w:pPr>
            <w:r w:rsidRPr="0004033F">
              <w:rPr>
                <w:sz w:val="20"/>
                <w:szCs w:val="20"/>
              </w:rPr>
              <w:t>CPV</w:t>
            </w:r>
          </w:p>
        </w:tc>
        <w:tc>
          <w:tcPr>
            <w:tcW w:w="1320" w:type="dxa"/>
            <w:noWrap/>
            <w:hideMark/>
          </w:tcPr>
          <w:p w14:paraId="5FCA6ACA" w14:textId="1B224071" w:rsidR="0004033F" w:rsidRPr="0004033F" w:rsidRDefault="0004033F" w:rsidP="0004033F">
            <w:pPr>
              <w:rPr>
                <w:sz w:val="20"/>
                <w:szCs w:val="20"/>
              </w:rPr>
            </w:pPr>
            <w:r w:rsidRPr="0004033F">
              <w:rPr>
                <w:sz w:val="20"/>
                <w:szCs w:val="20"/>
              </w:rPr>
              <w:t>EKV</w:t>
            </w:r>
            <w:r>
              <w:rPr>
                <w:sz w:val="20"/>
                <w:szCs w:val="20"/>
              </w:rPr>
              <w:t>-</w:t>
            </w:r>
            <w:r w:rsidRPr="0004033F">
              <w:rPr>
                <w:sz w:val="20"/>
                <w:szCs w:val="20"/>
              </w:rPr>
              <w:t>1</w:t>
            </w:r>
          </w:p>
        </w:tc>
        <w:tc>
          <w:tcPr>
            <w:tcW w:w="1320" w:type="dxa"/>
            <w:noWrap/>
            <w:hideMark/>
          </w:tcPr>
          <w:p w14:paraId="736FA231" w14:textId="7E7B1595" w:rsidR="0004033F" w:rsidRPr="0004033F" w:rsidRDefault="0004033F" w:rsidP="0004033F">
            <w:pPr>
              <w:rPr>
                <w:sz w:val="20"/>
                <w:szCs w:val="20"/>
              </w:rPr>
            </w:pPr>
            <w:r w:rsidRPr="0004033F">
              <w:rPr>
                <w:sz w:val="20"/>
                <w:szCs w:val="20"/>
              </w:rPr>
              <w:t>EKV</w:t>
            </w:r>
            <w:r>
              <w:rPr>
                <w:sz w:val="20"/>
                <w:szCs w:val="20"/>
              </w:rPr>
              <w:t>-</w:t>
            </w:r>
            <w:r w:rsidRPr="0004033F">
              <w:rPr>
                <w:sz w:val="20"/>
                <w:szCs w:val="20"/>
              </w:rPr>
              <w:t>2</w:t>
            </w:r>
          </w:p>
        </w:tc>
        <w:tc>
          <w:tcPr>
            <w:tcW w:w="1320" w:type="dxa"/>
            <w:noWrap/>
            <w:hideMark/>
          </w:tcPr>
          <w:p w14:paraId="1CAE37B3" w14:textId="77777777" w:rsidR="0004033F" w:rsidRPr="0004033F" w:rsidRDefault="0004033F" w:rsidP="0004033F">
            <w:pPr>
              <w:rPr>
                <w:sz w:val="20"/>
                <w:szCs w:val="20"/>
              </w:rPr>
            </w:pPr>
            <w:r w:rsidRPr="0004033F">
              <w:rPr>
                <w:sz w:val="20"/>
                <w:szCs w:val="20"/>
              </w:rPr>
              <w:t>BASV</w:t>
            </w:r>
          </w:p>
        </w:tc>
      </w:tr>
      <w:tr w:rsidR="0004033F" w:rsidRPr="0004033F" w14:paraId="5B50D085" w14:textId="77777777" w:rsidTr="0004033F">
        <w:trPr>
          <w:trHeight w:val="315"/>
        </w:trPr>
        <w:tc>
          <w:tcPr>
            <w:tcW w:w="1320" w:type="dxa"/>
            <w:noWrap/>
            <w:hideMark/>
          </w:tcPr>
          <w:p w14:paraId="062DDC39" w14:textId="77777777" w:rsidR="0004033F" w:rsidRPr="0004033F" w:rsidRDefault="0004033F" w:rsidP="0004033F">
            <w:pPr>
              <w:rPr>
                <w:sz w:val="20"/>
                <w:szCs w:val="20"/>
              </w:rPr>
            </w:pPr>
            <w:r w:rsidRPr="0004033F">
              <w:rPr>
                <w:sz w:val="20"/>
                <w:szCs w:val="20"/>
              </w:rPr>
              <w:t>TIBV</w:t>
            </w:r>
          </w:p>
        </w:tc>
        <w:tc>
          <w:tcPr>
            <w:tcW w:w="1320" w:type="dxa"/>
            <w:noWrap/>
            <w:hideMark/>
          </w:tcPr>
          <w:p w14:paraId="286636EC" w14:textId="77777777" w:rsidR="0004033F" w:rsidRPr="0004033F" w:rsidRDefault="0004033F" w:rsidP="0004033F">
            <w:pPr>
              <w:rPr>
                <w:sz w:val="20"/>
                <w:szCs w:val="20"/>
              </w:rPr>
            </w:pPr>
            <w:r w:rsidRPr="0004033F">
              <w:rPr>
                <w:sz w:val="20"/>
                <w:szCs w:val="20"/>
              </w:rPr>
              <w:t>100</w:t>
            </w:r>
          </w:p>
        </w:tc>
        <w:tc>
          <w:tcPr>
            <w:tcW w:w="1320" w:type="dxa"/>
            <w:noWrap/>
            <w:hideMark/>
          </w:tcPr>
          <w:p w14:paraId="7455C8C2" w14:textId="77777777" w:rsidR="0004033F" w:rsidRPr="0004033F" w:rsidRDefault="0004033F" w:rsidP="0004033F">
            <w:pPr>
              <w:rPr>
                <w:sz w:val="20"/>
                <w:szCs w:val="20"/>
              </w:rPr>
            </w:pPr>
            <w:r w:rsidRPr="0004033F">
              <w:rPr>
                <w:sz w:val="20"/>
                <w:szCs w:val="20"/>
              </w:rPr>
              <w:t> </w:t>
            </w:r>
          </w:p>
        </w:tc>
        <w:tc>
          <w:tcPr>
            <w:tcW w:w="1320" w:type="dxa"/>
            <w:noWrap/>
            <w:hideMark/>
          </w:tcPr>
          <w:p w14:paraId="1A03B031" w14:textId="77777777" w:rsidR="0004033F" w:rsidRPr="0004033F" w:rsidRDefault="0004033F" w:rsidP="0004033F">
            <w:pPr>
              <w:rPr>
                <w:sz w:val="20"/>
                <w:szCs w:val="20"/>
              </w:rPr>
            </w:pPr>
            <w:r w:rsidRPr="0004033F">
              <w:rPr>
                <w:sz w:val="20"/>
                <w:szCs w:val="20"/>
              </w:rPr>
              <w:t> </w:t>
            </w:r>
          </w:p>
        </w:tc>
        <w:tc>
          <w:tcPr>
            <w:tcW w:w="1320" w:type="dxa"/>
            <w:noWrap/>
            <w:hideMark/>
          </w:tcPr>
          <w:p w14:paraId="1A8B0911" w14:textId="77777777" w:rsidR="0004033F" w:rsidRPr="0004033F" w:rsidRDefault="0004033F" w:rsidP="0004033F">
            <w:pPr>
              <w:rPr>
                <w:sz w:val="20"/>
                <w:szCs w:val="20"/>
              </w:rPr>
            </w:pPr>
            <w:r w:rsidRPr="0004033F">
              <w:rPr>
                <w:sz w:val="20"/>
                <w:szCs w:val="20"/>
              </w:rPr>
              <w:t> </w:t>
            </w:r>
          </w:p>
        </w:tc>
        <w:tc>
          <w:tcPr>
            <w:tcW w:w="1320" w:type="dxa"/>
            <w:noWrap/>
            <w:hideMark/>
          </w:tcPr>
          <w:p w14:paraId="62E78CAB" w14:textId="77777777" w:rsidR="0004033F" w:rsidRPr="0004033F" w:rsidRDefault="0004033F" w:rsidP="0004033F">
            <w:pPr>
              <w:rPr>
                <w:sz w:val="20"/>
                <w:szCs w:val="20"/>
              </w:rPr>
            </w:pPr>
            <w:r w:rsidRPr="0004033F">
              <w:rPr>
                <w:sz w:val="20"/>
                <w:szCs w:val="20"/>
              </w:rPr>
              <w:t> </w:t>
            </w:r>
          </w:p>
        </w:tc>
        <w:tc>
          <w:tcPr>
            <w:tcW w:w="1320" w:type="dxa"/>
            <w:noWrap/>
            <w:hideMark/>
          </w:tcPr>
          <w:p w14:paraId="680C5E80" w14:textId="77777777" w:rsidR="0004033F" w:rsidRPr="0004033F" w:rsidRDefault="0004033F" w:rsidP="0004033F">
            <w:pPr>
              <w:rPr>
                <w:sz w:val="20"/>
                <w:szCs w:val="20"/>
              </w:rPr>
            </w:pPr>
            <w:r w:rsidRPr="0004033F">
              <w:rPr>
                <w:sz w:val="20"/>
                <w:szCs w:val="20"/>
              </w:rPr>
              <w:t> </w:t>
            </w:r>
          </w:p>
        </w:tc>
        <w:tc>
          <w:tcPr>
            <w:tcW w:w="1320" w:type="dxa"/>
            <w:noWrap/>
            <w:hideMark/>
          </w:tcPr>
          <w:p w14:paraId="3D92414C" w14:textId="77777777" w:rsidR="0004033F" w:rsidRPr="0004033F" w:rsidRDefault="0004033F" w:rsidP="0004033F">
            <w:pPr>
              <w:rPr>
                <w:sz w:val="20"/>
                <w:szCs w:val="20"/>
              </w:rPr>
            </w:pPr>
            <w:r w:rsidRPr="0004033F">
              <w:rPr>
                <w:sz w:val="20"/>
                <w:szCs w:val="20"/>
              </w:rPr>
              <w:t> </w:t>
            </w:r>
          </w:p>
        </w:tc>
        <w:tc>
          <w:tcPr>
            <w:tcW w:w="1320" w:type="dxa"/>
            <w:noWrap/>
            <w:hideMark/>
          </w:tcPr>
          <w:p w14:paraId="2EDFD08F" w14:textId="77777777" w:rsidR="0004033F" w:rsidRPr="0004033F" w:rsidRDefault="0004033F" w:rsidP="0004033F">
            <w:pPr>
              <w:rPr>
                <w:sz w:val="20"/>
                <w:szCs w:val="20"/>
              </w:rPr>
            </w:pPr>
            <w:r w:rsidRPr="0004033F">
              <w:rPr>
                <w:sz w:val="20"/>
                <w:szCs w:val="20"/>
              </w:rPr>
              <w:t> </w:t>
            </w:r>
          </w:p>
        </w:tc>
      </w:tr>
      <w:tr w:rsidR="0004033F" w:rsidRPr="0004033F" w14:paraId="3FBCA876" w14:textId="77777777" w:rsidTr="0004033F">
        <w:trPr>
          <w:trHeight w:val="315"/>
        </w:trPr>
        <w:tc>
          <w:tcPr>
            <w:tcW w:w="1320" w:type="dxa"/>
            <w:noWrap/>
            <w:hideMark/>
          </w:tcPr>
          <w:p w14:paraId="465C5E99" w14:textId="77777777" w:rsidR="0004033F" w:rsidRPr="0004033F" w:rsidRDefault="0004033F" w:rsidP="0004033F">
            <w:pPr>
              <w:rPr>
                <w:sz w:val="20"/>
                <w:szCs w:val="20"/>
              </w:rPr>
            </w:pPr>
            <w:r w:rsidRPr="0004033F">
              <w:rPr>
                <w:sz w:val="20"/>
                <w:szCs w:val="20"/>
              </w:rPr>
              <w:t>BAV</w:t>
            </w:r>
          </w:p>
        </w:tc>
        <w:tc>
          <w:tcPr>
            <w:tcW w:w="1320" w:type="dxa"/>
            <w:noWrap/>
            <w:hideMark/>
          </w:tcPr>
          <w:p w14:paraId="60A5FD14" w14:textId="77777777" w:rsidR="0004033F" w:rsidRPr="0004033F" w:rsidRDefault="0004033F" w:rsidP="0004033F">
            <w:pPr>
              <w:rPr>
                <w:sz w:val="20"/>
                <w:szCs w:val="20"/>
              </w:rPr>
            </w:pPr>
            <w:r w:rsidRPr="0004033F">
              <w:rPr>
                <w:sz w:val="20"/>
                <w:szCs w:val="20"/>
              </w:rPr>
              <w:t>97.2</w:t>
            </w:r>
          </w:p>
        </w:tc>
        <w:tc>
          <w:tcPr>
            <w:tcW w:w="1320" w:type="dxa"/>
            <w:noWrap/>
            <w:hideMark/>
          </w:tcPr>
          <w:p w14:paraId="5AEADEE0" w14:textId="77777777" w:rsidR="0004033F" w:rsidRPr="0004033F" w:rsidRDefault="0004033F" w:rsidP="0004033F">
            <w:pPr>
              <w:rPr>
                <w:sz w:val="20"/>
                <w:szCs w:val="20"/>
              </w:rPr>
            </w:pPr>
            <w:r w:rsidRPr="0004033F">
              <w:rPr>
                <w:sz w:val="20"/>
                <w:szCs w:val="20"/>
              </w:rPr>
              <w:t>100</w:t>
            </w:r>
          </w:p>
        </w:tc>
        <w:tc>
          <w:tcPr>
            <w:tcW w:w="1320" w:type="dxa"/>
            <w:noWrap/>
            <w:hideMark/>
          </w:tcPr>
          <w:p w14:paraId="7F7525D1" w14:textId="77777777" w:rsidR="0004033F" w:rsidRPr="0004033F" w:rsidRDefault="0004033F" w:rsidP="0004033F">
            <w:pPr>
              <w:rPr>
                <w:sz w:val="20"/>
                <w:szCs w:val="20"/>
              </w:rPr>
            </w:pPr>
            <w:r w:rsidRPr="0004033F">
              <w:rPr>
                <w:sz w:val="20"/>
                <w:szCs w:val="20"/>
              </w:rPr>
              <w:t> </w:t>
            </w:r>
          </w:p>
        </w:tc>
        <w:tc>
          <w:tcPr>
            <w:tcW w:w="1320" w:type="dxa"/>
            <w:noWrap/>
            <w:hideMark/>
          </w:tcPr>
          <w:p w14:paraId="4C38B916" w14:textId="77777777" w:rsidR="0004033F" w:rsidRPr="0004033F" w:rsidRDefault="0004033F" w:rsidP="0004033F">
            <w:pPr>
              <w:rPr>
                <w:sz w:val="20"/>
                <w:szCs w:val="20"/>
              </w:rPr>
            </w:pPr>
            <w:r w:rsidRPr="0004033F">
              <w:rPr>
                <w:sz w:val="20"/>
                <w:szCs w:val="20"/>
              </w:rPr>
              <w:t> </w:t>
            </w:r>
          </w:p>
        </w:tc>
        <w:tc>
          <w:tcPr>
            <w:tcW w:w="1320" w:type="dxa"/>
            <w:noWrap/>
            <w:hideMark/>
          </w:tcPr>
          <w:p w14:paraId="37216C11" w14:textId="77777777" w:rsidR="0004033F" w:rsidRPr="0004033F" w:rsidRDefault="0004033F" w:rsidP="0004033F">
            <w:pPr>
              <w:rPr>
                <w:sz w:val="20"/>
                <w:szCs w:val="20"/>
              </w:rPr>
            </w:pPr>
            <w:r w:rsidRPr="0004033F">
              <w:rPr>
                <w:sz w:val="20"/>
                <w:szCs w:val="20"/>
              </w:rPr>
              <w:t> </w:t>
            </w:r>
          </w:p>
        </w:tc>
        <w:tc>
          <w:tcPr>
            <w:tcW w:w="1320" w:type="dxa"/>
            <w:noWrap/>
            <w:hideMark/>
          </w:tcPr>
          <w:p w14:paraId="183B914F" w14:textId="77777777" w:rsidR="0004033F" w:rsidRPr="0004033F" w:rsidRDefault="0004033F" w:rsidP="0004033F">
            <w:pPr>
              <w:rPr>
                <w:sz w:val="20"/>
                <w:szCs w:val="20"/>
              </w:rPr>
            </w:pPr>
            <w:r w:rsidRPr="0004033F">
              <w:rPr>
                <w:sz w:val="20"/>
                <w:szCs w:val="20"/>
              </w:rPr>
              <w:t> </w:t>
            </w:r>
          </w:p>
        </w:tc>
        <w:tc>
          <w:tcPr>
            <w:tcW w:w="1320" w:type="dxa"/>
            <w:noWrap/>
            <w:hideMark/>
          </w:tcPr>
          <w:p w14:paraId="404241F7" w14:textId="77777777" w:rsidR="0004033F" w:rsidRPr="0004033F" w:rsidRDefault="0004033F" w:rsidP="0004033F">
            <w:pPr>
              <w:rPr>
                <w:sz w:val="20"/>
                <w:szCs w:val="20"/>
              </w:rPr>
            </w:pPr>
            <w:r w:rsidRPr="0004033F">
              <w:rPr>
                <w:sz w:val="20"/>
                <w:szCs w:val="20"/>
              </w:rPr>
              <w:t> </w:t>
            </w:r>
          </w:p>
        </w:tc>
        <w:tc>
          <w:tcPr>
            <w:tcW w:w="1320" w:type="dxa"/>
            <w:noWrap/>
            <w:hideMark/>
          </w:tcPr>
          <w:p w14:paraId="48E97865" w14:textId="77777777" w:rsidR="0004033F" w:rsidRPr="0004033F" w:rsidRDefault="0004033F" w:rsidP="0004033F">
            <w:pPr>
              <w:rPr>
                <w:sz w:val="20"/>
                <w:szCs w:val="20"/>
              </w:rPr>
            </w:pPr>
            <w:r w:rsidRPr="0004033F">
              <w:rPr>
                <w:sz w:val="20"/>
                <w:szCs w:val="20"/>
              </w:rPr>
              <w:t> </w:t>
            </w:r>
          </w:p>
        </w:tc>
      </w:tr>
      <w:tr w:rsidR="0004033F" w:rsidRPr="0004033F" w14:paraId="6057514F" w14:textId="77777777" w:rsidTr="0004033F">
        <w:trPr>
          <w:trHeight w:val="315"/>
        </w:trPr>
        <w:tc>
          <w:tcPr>
            <w:tcW w:w="1320" w:type="dxa"/>
            <w:noWrap/>
            <w:hideMark/>
          </w:tcPr>
          <w:p w14:paraId="439794AD" w14:textId="77777777" w:rsidR="0004033F" w:rsidRPr="0004033F" w:rsidRDefault="0004033F" w:rsidP="0004033F">
            <w:pPr>
              <w:rPr>
                <w:sz w:val="20"/>
                <w:szCs w:val="20"/>
              </w:rPr>
            </w:pPr>
            <w:r w:rsidRPr="0004033F">
              <w:rPr>
                <w:sz w:val="20"/>
                <w:szCs w:val="20"/>
              </w:rPr>
              <w:t>BHV</w:t>
            </w:r>
          </w:p>
        </w:tc>
        <w:tc>
          <w:tcPr>
            <w:tcW w:w="1320" w:type="dxa"/>
            <w:noWrap/>
            <w:hideMark/>
          </w:tcPr>
          <w:p w14:paraId="292F9A93" w14:textId="77777777" w:rsidR="0004033F" w:rsidRPr="0004033F" w:rsidRDefault="0004033F" w:rsidP="0004033F">
            <w:pPr>
              <w:rPr>
                <w:sz w:val="20"/>
                <w:szCs w:val="20"/>
              </w:rPr>
            </w:pPr>
            <w:r w:rsidRPr="0004033F">
              <w:rPr>
                <w:sz w:val="20"/>
                <w:szCs w:val="20"/>
              </w:rPr>
              <w:t>86.4</w:t>
            </w:r>
          </w:p>
        </w:tc>
        <w:tc>
          <w:tcPr>
            <w:tcW w:w="1320" w:type="dxa"/>
            <w:noWrap/>
            <w:hideMark/>
          </w:tcPr>
          <w:p w14:paraId="2249B832" w14:textId="77777777" w:rsidR="0004033F" w:rsidRPr="0004033F" w:rsidRDefault="0004033F" w:rsidP="0004033F">
            <w:pPr>
              <w:rPr>
                <w:sz w:val="20"/>
                <w:szCs w:val="20"/>
              </w:rPr>
            </w:pPr>
            <w:r w:rsidRPr="0004033F">
              <w:rPr>
                <w:sz w:val="20"/>
                <w:szCs w:val="20"/>
              </w:rPr>
              <w:t>85.9</w:t>
            </w:r>
          </w:p>
        </w:tc>
        <w:tc>
          <w:tcPr>
            <w:tcW w:w="1320" w:type="dxa"/>
            <w:noWrap/>
            <w:hideMark/>
          </w:tcPr>
          <w:p w14:paraId="012C11E3" w14:textId="77777777" w:rsidR="0004033F" w:rsidRPr="0004033F" w:rsidRDefault="0004033F" w:rsidP="0004033F">
            <w:pPr>
              <w:rPr>
                <w:sz w:val="20"/>
                <w:szCs w:val="20"/>
              </w:rPr>
            </w:pPr>
            <w:r w:rsidRPr="0004033F">
              <w:rPr>
                <w:sz w:val="20"/>
                <w:szCs w:val="20"/>
              </w:rPr>
              <w:t>100</w:t>
            </w:r>
          </w:p>
        </w:tc>
        <w:tc>
          <w:tcPr>
            <w:tcW w:w="1320" w:type="dxa"/>
            <w:noWrap/>
            <w:hideMark/>
          </w:tcPr>
          <w:p w14:paraId="12B6DC07" w14:textId="77777777" w:rsidR="0004033F" w:rsidRPr="0004033F" w:rsidRDefault="0004033F" w:rsidP="0004033F">
            <w:pPr>
              <w:rPr>
                <w:sz w:val="20"/>
                <w:szCs w:val="20"/>
              </w:rPr>
            </w:pPr>
            <w:r w:rsidRPr="0004033F">
              <w:rPr>
                <w:sz w:val="20"/>
                <w:szCs w:val="20"/>
              </w:rPr>
              <w:t> </w:t>
            </w:r>
          </w:p>
        </w:tc>
        <w:tc>
          <w:tcPr>
            <w:tcW w:w="1320" w:type="dxa"/>
            <w:noWrap/>
            <w:hideMark/>
          </w:tcPr>
          <w:p w14:paraId="0C23B29E" w14:textId="77777777" w:rsidR="0004033F" w:rsidRPr="0004033F" w:rsidRDefault="0004033F" w:rsidP="0004033F">
            <w:pPr>
              <w:rPr>
                <w:sz w:val="20"/>
                <w:szCs w:val="20"/>
              </w:rPr>
            </w:pPr>
            <w:r w:rsidRPr="0004033F">
              <w:rPr>
                <w:sz w:val="20"/>
                <w:szCs w:val="20"/>
              </w:rPr>
              <w:t> </w:t>
            </w:r>
          </w:p>
        </w:tc>
        <w:tc>
          <w:tcPr>
            <w:tcW w:w="1320" w:type="dxa"/>
            <w:noWrap/>
            <w:hideMark/>
          </w:tcPr>
          <w:p w14:paraId="50880D9C" w14:textId="77777777" w:rsidR="0004033F" w:rsidRPr="0004033F" w:rsidRDefault="0004033F" w:rsidP="0004033F">
            <w:pPr>
              <w:rPr>
                <w:sz w:val="20"/>
                <w:szCs w:val="20"/>
              </w:rPr>
            </w:pPr>
            <w:r w:rsidRPr="0004033F">
              <w:rPr>
                <w:sz w:val="20"/>
                <w:szCs w:val="20"/>
              </w:rPr>
              <w:t> </w:t>
            </w:r>
          </w:p>
        </w:tc>
        <w:tc>
          <w:tcPr>
            <w:tcW w:w="1320" w:type="dxa"/>
            <w:noWrap/>
            <w:hideMark/>
          </w:tcPr>
          <w:p w14:paraId="0E7EF054" w14:textId="77777777" w:rsidR="0004033F" w:rsidRPr="0004033F" w:rsidRDefault="0004033F" w:rsidP="0004033F">
            <w:pPr>
              <w:rPr>
                <w:sz w:val="20"/>
                <w:szCs w:val="20"/>
              </w:rPr>
            </w:pPr>
            <w:r w:rsidRPr="0004033F">
              <w:rPr>
                <w:sz w:val="20"/>
                <w:szCs w:val="20"/>
              </w:rPr>
              <w:t> </w:t>
            </w:r>
          </w:p>
        </w:tc>
        <w:tc>
          <w:tcPr>
            <w:tcW w:w="1320" w:type="dxa"/>
            <w:noWrap/>
            <w:hideMark/>
          </w:tcPr>
          <w:p w14:paraId="36D68FCC" w14:textId="77777777" w:rsidR="0004033F" w:rsidRPr="0004033F" w:rsidRDefault="0004033F" w:rsidP="0004033F">
            <w:pPr>
              <w:rPr>
                <w:sz w:val="20"/>
                <w:szCs w:val="20"/>
              </w:rPr>
            </w:pPr>
            <w:r w:rsidRPr="0004033F">
              <w:rPr>
                <w:sz w:val="20"/>
                <w:szCs w:val="20"/>
              </w:rPr>
              <w:t> </w:t>
            </w:r>
          </w:p>
        </w:tc>
      </w:tr>
      <w:tr w:rsidR="0004033F" w:rsidRPr="0004033F" w14:paraId="09ACEE98" w14:textId="77777777" w:rsidTr="0004033F">
        <w:trPr>
          <w:trHeight w:val="315"/>
        </w:trPr>
        <w:tc>
          <w:tcPr>
            <w:tcW w:w="1320" w:type="dxa"/>
            <w:noWrap/>
            <w:hideMark/>
          </w:tcPr>
          <w:p w14:paraId="10D7397D" w14:textId="77777777" w:rsidR="0004033F" w:rsidRPr="0004033F" w:rsidRDefault="0004033F" w:rsidP="0004033F">
            <w:pPr>
              <w:rPr>
                <w:sz w:val="20"/>
                <w:szCs w:val="20"/>
              </w:rPr>
            </w:pPr>
            <w:r w:rsidRPr="0004033F">
              <w:rPr>
                <w:sz w:val="20"/>
                <w:szCs w:val="20"/>
              </w:rPr>
              <w:t>SWBV</w:t>
            </w:r>
          </w:p>
        </w:tc>
        <w:tc>
          <w:tcPr>
            <w:tcW w:w="1320" w:type="dxa"/>
            <w:noWrap/>
            <w:hideMark/>
          </w:tcPr>
          <w:p w14:paraId="2BC53891" w14:textId="77777777" w:rsidR="0004033F" w:rsidRPr="0004033F" w:rsidRDefault="0004033F" w:rsidP="0004033F">
            <w:pPr>
              <w:rPr>
                <w:sz w:val="20"/>
                <w:szCs w:val="20"/>
              </w:rPr>
            </w:pPr>
            <w:r w:rsidRPr="0004033F">
              <w:rPr>
                <w:sz w:val="20"/>
                <w:szCs w:val="20"/>
              </w:rPr>
              <w:t>63.3</w:t>
            </w:r>
          </w:p>
        </w:tc>
        <w:tc>
          <w:tcPr>
            <w:tcW w:w="1320" w:type="dxa"/>
            <w:noWrap/>
            <w:hideMark/>
          </w:tcPr>
          <w:p w14:paraId="4817E971" w14:textId="77777777" w:rsidR="0004033F" w:rsidRPr="0004033F" w:rsidRDefault="0004033F" w:rsidP="0004033F">
            <w:pPr>
              <w:rPr>
                <w:sz w:val="20"/>
                <w:szCs w:val="20"/>
              </w:rPr>
            </w:pPr>
            <w:r w:rsidRPr="0004033F">
              <w:rPr>
                <w:sz w:val="20"/>
                <w:szCs w:val="20"/>
              </w:rPr>
              <w:t>62.9</w:t>
            </w:r>
          </w:p>
        </w:tc>
        <w:tc>
          <w:tcPr>
            <w:tcW w:w="1320" w:type="dxa"/>
            <w:noWrap/>
            <w:hideMark/>
          </w:tcPr>
          <w:p w14:paraId="58637AED" w14:textId="77777777" w:rsidR="0004033F" w:rsidRPr="0004033F" w:rsidRDefault="0004033F" w:rsidP="0004033F">
            <w:pPr>
              <w:rPr>
                <w:sz w:val="20"/>
                <w:szCs w:val="20"/>
              </w:rPr>
            </w:pPr>
            <w:r w:rsidRPr="0004033F">
              <w:rPr>
                <w:sz w:val="20"/>
                <w:szCs w:val="20"/>
              </w:rPr>
              <w:t>63.5</w:t>
            </w:r>
          </w:p>
        </w:tc>
        <w:tc>
          <w:tcPr>
            <w:tcW w:w="1320" w:type="dxa"/>
            <w:noWrap/>
            <w:hideMark/>
          </w:tcPr>
          <w:p w14:paraId="7B6FBEFE" w14:textId="77777777" w:rsidR="0004033F" w:rsidRPr="0004033F" w:rsidRDefault="0004033F" w:rsidP="0004033F">
            <w:pPr>
              <w:rPr>
                <w:sz w:val="20"/>
                <w:szCs w:val="20"/>
              </w:rPr>
            </w:pPr>
            <w:r w:rsidRPr="0004033F">
              <w:rPr>
                <w:sz w:val="20"/>
                <w:szCs w:val="20"/>
              </w:rPr>
              <w:t>100</w:t>
            </w:r>
          </w:p>
        </w:tc>
        <w:tc>
          <w:tcPr>
            <w:tcW w:w="1320" w:type="dxa"/>
            <w:noWrap/>
            <w:hideMark/>
          </w:tcPr>
          <w:p w14:paraId="08FF21DE" w14:textId="77777777" w:rsidR="0004033F" w:rsidRPr="0004033F" w:rsidRDefault="0004033F" w:rsidP="0004033F">
            <w:pPr>
              <w:rPr>
                <w:sz w:val="20"/>
                <w:szCs w:val="20"/>
              </w:rPr>
            </w:pPr>
            <w:r w:rsidRPr="0004033F">
              <w:rPr>
                <w:sz w:val="20"/>
                <w:szCs w:val="20"/>
              </w:rPr>
              <w:t> </w:t>
            </w:r>
          </w:p>
        </w:tc>
        <w:tc>
          <w:tcPr>
            <w:tcW w:w="1320" w:type="dxa"/>
            <w:noWrap/>
            <w:hideMark/>
          </w:tcPr>
          <w:p w14:paraId="3EC30469" w14:textId="77777777" w:rsidR="0004033F" w:rsidRPr="0004033F" w:rsidRDefault="0004033F" w:rsidP="0004033F">
            <w:pPr>
              <w:rPr>
                <w:sz w:val="20"/>
                <w:szCs w:val="20"/>
              </w:rPr>
            </w:pPr>
            <w:r w:rsidRPr="0004033F">
              <w:rPr>
                <w:sz w:val="20"/>
                <w:szCs w:val="20"/>
              </w:rPr>
              <w:t> </w:t>
            </w:r>
          </w:p>
        </w:tc>
        <w:tc>
          <w:tcPr>
            <w:tcW w:w="1320" w:type="dxa"/>
            <w:noWrap/>
            <w:hideMark/>
          </w:tcPr>
          <w:p w14:paraId="5A8D03EA" w14:textId="77777777" w:rsidR="0004033F" w:rsidRPr="0004033F" w:rsidRDefault="0004033F" w:rsidP="0004033F">
            <w:pPr>
              <w:rPr>
                <w:sz w:val="20"/>
                <w:szCs w:val="20"/>
              </w:rPr>
            </w:pPr>
            <w:r w:rsidRPr="0004033F">
              <w:rPr>
                <w:sz w:val="20"/>
                <w:szCs w:val="20"/>
              </w:rPr>
              <w:t> </w:t>
            </w:r>
          </w:p>
        </w:tc>
        <w:tc>
          <w:tcPr>
            <w:tcW w:w="1320" w:type="dxa"/>
            <w:noWrap/>
            <w:hideMark/>
          </w:tcPr>
          <w:p w14:paraId="6EDC04B1" w14:textId="77777777" w:rsidR="0004033F" w:rsidRPr="0004033F" w:rsidRDefault="0004033F" w:rsidP="0004033F">
            <w:pPr>
              <w:rPr>
                <w:sz w:val="20"/>
                <w:szCs w:val="20"/>
              </w:rPr>
            </w:pPr>
            <w:r w:rsidRPr="0004033F">
              <w:rPr>
                <w:sz w:val="20"/>
                <w:szCs w:val="20"/>
              </w:rPr>
              <w:t> </w:t>
            </w:r>
          </w:p>
        </w:tc>
      </w:tr>
      <w:tr w:rsidR="0004033F" w:rsidRPr="0004033F" w14:paraId="211234C6" w14:textId="77777777" w:rsidTr="0004033F">
        <w:trPr>
          <w:trHeight w:val="315"/>
        </w:trPr>
        <w:tc>
          <w:tcPr>
            <w:tcW w:w="1320" w:type="dxa"/>
            <w:noWrap/>
            <w:hideMark/>
          </w:tcPr>
          <w:p w14:paraId="4A49ED19" w14:textId="77777777" w:rsidR="0004033F" w:rsidRPr="0004033F" w:rsidRDefault="0004033F" w:rsidP="0004033F">
            <w:pPr>
              <w:rPr>
                <w:sz w:val="20"/>
                <w:szCs w:val="20"/>
              </w:rPr>
            </w:pPr>
            <w:r w:rsidRPr="0004033F">
              <w:rPr>
                <w:sz w:val="20"/>
                <w:szCs w:val="20"/>
              </w:rPr>
              <w:t>CPV</w:t>
            </w:r>
          </w:p>
        </w:tc>
        <w:tc>
          <w:tcPr>
            <w:tcW w:w="1320" w:type="dxa"/>
            <w:noWrap/>
            <w:hideMark/>
          </w:tcPr>
          <w:p w14:paraId="1119B48C" w14:textId="77777777" w:rsidR="0004033F" w:rsidRPr="0004033F" w:rsidRDefault="0004033F" w:rsidP="0004033F">
            <w:pPr>
              <w:rPr>
                <w:sz w:val="20"/>
                <w:szCs w:val="20"/>
              </w:rPr>
            </w:pPr>
            <w:r w:rsidRPr="0004033F">
              <w:rPr>
                <w:sz w:val="20"/>
                <w:szCs w:val="20"/>
              </w:rPr>
              <w:t>55</w:t>
            </w:r>
          </w:p>
        </w:tc>
        <w:tc>
          <w:tcPr>
            <w:tcW w:w="1320" w:type="dxa"/>
            <w:noWrap/>
            <w:hideMark/>
          </w:tcPr>
          <w:p w14:paraId="223017E2" w14:textId="77777777" w:rsidR="0004033F" w:rsidRPr="0004033F" w:rsidRDefault="0004033F" w:rsidP="0004033F">
            <w:pPr>
              <w:rPr>
                <w:sz w:val="20"/>
                <w:szCs w:val="20"/>
              </w:rPr>
            </w:pPr>
            <w:r w:rsidRPr="0004033F">
              <w:rPr>
                <w:sz w:val="20"/>
                <w:szCs w:val="20"/>
              </w:rPr>
              <w:t>55</w:t>
            </w:r>
          </w:p>
        </w:tc>
        <w:tc>
          <w:tcPr>
            <w:tcW w:w="1320" w:type="dxa"/>
            <w:noWrap/>
            <w:hideMark/>
          </w:tcPr>
          <w:p w14:paraId="2A10F558" w14:textId="77777777" w:rsidR="0004033F" w:rsidRPr="0004033F" w:rsidRDefault="0004033F" w:rsidP="0004033F">
            <w:pPr>
              <w:rPr>
                <w:sz w:val="20"/>
                <w:szCs w:val="20"/>
              </w:rPr>
            </w:pPr>
            <w:r w:rsidRPr="0004033F">
              <w:rPr>
                <w:sz w:val="20"/>
                <w:szCs w:val="20"/>
              </w:rPr>
              <w:t>54</w:t>
            </w:r>
          </w:p>
        </w:tc>
        <w:tc>
          <w:tcPr>
            <w:tcW w:w="1320" w:type="dxa"/>
            <w:noWrap/>
            <w:hideMark/>
          </w:tcPr>
          <w:p w14:paraId="67A10C4E" w14:textId="77777777" w:rsidR="0004033F" w:rsidRPr="0004033F" w:rsidRDefault="0004033F" w:rsidP="0004033F">
            <w:pPr>
              <w:rPr>
                <w:sz w:val="20"/>
                <w:szCs w:val="20"/>
              </w:rPr>
            </w:pPr>
            <w:r w:rsidRPr="0004033F">
              <w:rPr>
                <w:sz w:val="20"/>
                <w:szCs w:val="20"/>
              </w:rPr>
              <w:t>54.7</w:t>
            </w:r>
          </w:p>
        </w:tc>
        <w:tc>
          <w:tcPr>
            <w:tcW w:w="1320" w:type="dxa"/>
            <w:noWrap/>
            <w:hideMark/>
          </w:tcPr>
          <w:p w14:paraId="2861F649" w14:textId="77777777" w:rsidR="0004033F" w:rsidRPr="0004033F" w:rsidRDefault="0004033F" w:rsidP="0004033F">
            <w:pPr>
              <w:rPr>
                <w:sz w:val="20"/>
                <w:szCs w:val="20"/>
              </w:rPr>
            </w:pPr>
            <w:r w:rsidRPr="0004033F">
              <w:rPr>
                <w:sz w:val="20"/>
                <w:szCs w:val="20"/>
              </w:rPr>
              <w:t>100</w:t>
            </w:r>
          </w:p>
        </w:tc>
        <w:tc>
          <w:tcPr>
            <w:tcW w:w="1320" w:type="dxa"/>
            <w:noWrap/>
            <w:hideMark/>
          </w:tcPr>
          <w:p w14:paraId="51322237" w14:textId="77777777" w:rsidR="0004033F" w:rsidRPr="0004033F" w:rsidRDefault="0004033F" w:rsidP="0004033F">
            <w:pPr>
              <w:rPr>
                <w:sz w:val="20"/>
                <w:szCs w:val="20"/>
              </w:rPr>
            </w:pPr>
            <w:r w:rsidRPr="0004033F">
              <w:rPr>
                <w:sz w:val="20"/>
                <w:szCs w:val="20"/>
              </w:rPr>
              <w:t> </w:t>
            </w:r>
          </w:p>
        </w:tc>
        <w:tc>
          <w:tcPr>
            <w:tcW w:w="1320" w:type="dxa"/>
            <w:noWrap/>
            <w:hideMark/>
          </w:tcPr>
          <w:p w14:paraId="0B576DB4" w14:textId="77777777" w:rsidR="0004033F" w:rsidRPr="0004033F" w:rsidRDefault="0004033F" w:rsidP="0004033F">
            <w:pPr>
              <w:rPr>
                <w:sz w:val="20"/>
                <w:szCs w:val="20"/>
              </w:rPr>
            </w:pPr>
            <w:r w:rsidRPr="0004033F">
              <w:rPr>
                <w:sz w:val="20"/>
                <w:szCs w:val="20"/>
              </w:rPr>
              <w:t> </w:t>
            </w:r>
          </w:p>
        </w:tc>
        <w:tc>
          <w:tcPr>
            <w:tcW w:w="1320" w:type="dxa"/>
            <w:noWrap/>
            <w:hideMark/>
          </w:tcPr>
          <w:p w14:paraId="34183E13" w14:textId="77777777" w:rsidR="0004033F" w:rsidRPr="0004033F" w:rsidRDefault="0004033F" w:rsidP="0004033F">
            <w:pPr>
              <w:rPr>
                <w:sz w:val="20"/>
                <w:szCs w:val="20"/>
              </w:rPr>
            </w:pPr>
            <w:r w:rsidRPr="0004033F">
              <w:rPr>
                <w:sz w:val="20"/>
                <w:szCs w:val="20"/>
              </w:rPr>
              <w:t> </w:t>
            </w:r>
          </w:p>
        </w:tc>
      </w:tr>
      <w:tr w:rsidR="0004033F" w:rsidRPr="0004033F" w14:paraId="193F1D78" w14:textId="77777777" w:rsidTr="0004033F">
        <w:trPr>
          <w:trHeight w:val="315"/>
        </w:trPr>
        <w:tc>
          <w:tcPr>
            <w:tcW w:w="1320" w:type="dxa"/>
            <w:noWrap/>
            <w:hideMark/>
          </w:tcPr>
          <w:p w14:paraId="527F498C" w14:textId="2D726BAD" w:rsidR="0004033F" w:rsidRPr="0004033F" w:rsidRDefault="0004033F" w:rsidP="0004033F">
            <w:pPr>
              <w:rPr>
                <w:sz w:val="20"/>
                <w:szCs w:val="20"/>
              </w:rPr>
            </w:pPr>
            <w:r w:rsidRPr="0004033F">
              <w:rPr>
                <w:sz w:val="20"/>
                <w:szCs w:val="20"/>
              </w:rPr>
              <w:t>EKV</w:t>
            </w:r>
            <w:r>
              <w:rPr>
                <w:sz w:val="20"/>
                <w:szCs w:val="20"/>
              </w:rPr>
              <w:t>-</w:t>
            </w:r>
            <w:r w:rsidRPr="0004033F">
              <w:rPr>
                <w:sz w:val="20"/>
                <w:szCs w:val="20"/>
              </w:rPr>
              <w:t>1</w:t>
            </w:r>
          </w:p>
        </w:tc>
        <w:tc>
          <w:tcPr>
            <w:tcW w:w="1320" w:type="dxa"/>
            <w:noWrap/>
            <w:hideMark/>
          </w:tcPr>
          <w:p w14:paraId="783573D8" w14:textId="77777777" w:rsidR="0004033F" w:rsidRPr="0004033F" w:rsidRDefault="0004033F" w:rsidP="0004033F">
            <w:pPr>
              <w:rPr>
                <w:sz w:val="20"/>
                <w:szCs w:val="20"/>
              </w:rPr>
            </w:pPr>
            <w:r w:rsidRPr="0004033F">
              <w:rPr>
                <w:sz w:val="20"/>
                <w:szCs w:val="20"/>
              </w:rPr>
              <w:t>45.1</w:t>
            </w:r>
          </w:p>
        </w:tc>
        <w:tc>
          <w:tcPr>
            <w:tcW w:w="1320" w:type="dxa"/>
            <w:noWrap/>
            <w:hideMark/>
          </w:tcPr>
          <w:p w14:paraId="35AA2C91" w14:textId="77777777" w:rsidR="0004033F" w:rsidRPr="0004033F" w:rsidRDefault="0004033F" w:rsidP="0004033F">
            <w:pPr>
              <w:rPr>
                <w:sz w:val="20"/>
                <w:szCs w:val="20"/>
              </w:rPr>
            </w:pPr>
            <w:r w:rsidRPr="0004033F">
              <w:rPr>
                <w:sz w:val="20"/>
                <w:szCs w:val="20"/>
              </w:rPr>
              <w:t>45.2</w:t>
            </w:r>
          </w:p>
        </w:tc>
        <w:tc>
          <w:tcPr>
            <w:tcW w:w="1320" w:type="dxa"/>
            <w:noWrap/>
            <w:hideMark/>
          </w:tcPr>
          <w:p w14:paraId="5C7C7D55" w14:textId="77777777" w:rsidR="0004033F" w:rsidRPr="0004033F" w:rsidRDefault="0004033F" w:rsidP="0004033F">
            <w:pPr>
              <w:rPr>
                <w:sz w:val="20"/>
                <w:szCs w:val="20"/>
              </w:rPr>
            </w:pPr>
            <w:r w:rsidRPr="0004033F">
              <w:rPr>
                <w:sz w:val="20"/>
                <w:szCs w:val="20"/>
              </w:rPr>
              <w:t>45.1</w:t>
            </w:r>
          </w:p>
        </w:tc>
        <w:tc>
          <w:tcPr>
            <w:tcW w:w="1320" w:type="dxa"/>
            <w:noWrap/>
            <w:hideMark/>
          </w:tcPr>
          <w:p w14:paraId="2EE10ABC" w14:textId="77777777" w:rsidR="0004033F" w:rsidRPr="0004033F" w:rsidRDefault="0004033F" w:rsidP="0004033F">
            <w:pPr>
              <w:rPr>
                <w:sz w:val="20"/>
                <w:szCs w:val="20"/>
              </w:rPr>
            </w:pPr>
            <w:r w:rsidRPr="0004033F">
              <w:rPr>
                <w:sz w:val="20"/>
                <w:szCs w:val="20"/>
              </w:rPr>
              <w:t>45.7</w:t>
            </w:r>
          </w:p>
        </w:tc>
        <w:tc>
          <w:tcPr>
            <w:tcW w:w="1320" w:type="dxa"/>
            <w:noWrap/>
            <w:hideMark/>
          </w:tcPr>
          <w:p w14:paraId="0A659482" w14:textId="77777777" w:rsidR="0004033F" w:rsidRPr="0004033F" w:rsidRDefault="0004033F" w:rsidP="0004033F">
            <w:pPr>
              <w:rPr>
                <w:sz w:val="20"/>
                <w:szCs w:val="20"/>
              </w:rPr>
            </w:pPr>
            <w:r w:rsidRPr="0004033F">
              <w:rPr>
                <w:sz w:val="20"/>
                <w:szCs w:val="20"/>
              </w:rPr>
              <w:t>47.8</w:t>
            </w:r>
          </w:p>
        </w:tc>
        <w:tc>
          <w:tcPr>
            <w:tcW w:w="1320" w:type="dxa"/>
            <w:noWrap/>
            <w:hideMark/>
          </w:tcPr>
          <w:p w14:paraId="75FEFA44" w14:textId="77777777" w:rsidR="0004033F" w:rsidRPr="0004033F" w:rsidRDefault="0004033F" w:rsidP="0004033F">
            <w:pPr>
              <w:rPr>
                <w:sz w:val="20"/>
                <w:szCs w:val="20"/>
              </w:rPr>
            </w:pPr>
            <w:r w:rsidRPr="0004033F">
              <w:rPr>
                <w:sz w:val="20"/>
                <w:szCs w:val="20"/>
              </w:rPr>
              <w:t>100</w:t>
            </w:r>
          </w:p>
        </w:tc>
        <w:tc>
          <w:tcPr>
            <w:tcW w:w="1320" w:type="dxa"/>
            <w:noWrap/>
            <w:hideMark/>
          </w:tcPr>
          <w:p w14:paraId="51D40800" w14:textId="77777777" w:rsidR="0004033F" w:rsidRPr="0004033F" w:rsidRDefault="0004033F" w:rsidP="0004033F">
            <w:pPr>
              <w:rPr>
                <w:sz w:val="20"/>
                <w:szCs w:val="20"/>
              </w:rPr>
            </w:pPr>
            <w:r w:rsidRPr="0004033F">
              <w:rPr>
                <w:sz w:val="20"/>
                <w:szCs w:val="20"/>
              </w:rPr>
              <w:t> </w:t>
            </w:r>
          </w:p>
        </w:tc>
        <w:tc>
          <w:tcPr>
            <w:tcW w:w="1320" w:type="dxa"/>
            <w:noWrap/>
            <w:hideMark/>
          </w:tcPr>
          <w:p w14:paraId="4E43C73C" w14:textId="77777777" w:rsidR="0004033F" w:rsidRPr="0004033F" w:rsidRDefault="0004033F" w:rsidP="0004033F">
            <w:pPr>
              <w:rPr>
                <w:sz w:val="20"/>
                <w:szCs w:val="20"/>
              </w:rPr>
            </w:pPr>
            <w:r w:rsidRPr="0004033F">
              <w:rPr>
                <w:sz w:val="20"/>
                <w:szCs w:val="20"/>
              </w:rPr>
              <w:t> </w:t>
            </w:r>
          </w:p>
        </w:tc>
      </w:tr>
      <w:tr w:rsidR="0004033F" w:rsidRPr="0004033F" w14:paraId="3B26C115" w14:textId="77777777" w:rsidTr="0004033F">
        <w:trPr>
          <w:trHeight w:val="315"/>
        </w:trPr>
        <w:tc>
          <w:tcPr>
            <w:tcW w:w="1320" w:type="dxa"/>
            <w:noWrap/>
            <w:hideMark/>
          </w:tcPr>
          <w:p w14:paraId="255A41D0" w14:textId="0F83BEFE" w:rsidR="0004033F" w:rsidRPr="0004033F" w:rsidRDefault="0004033F" w:rsidP="0004033F">
            <w:pPr>
              <w:rPr>
                <w:sz w:val="20"/>
                <w:szCs w:val="20"/>
              </w:rPr>
            </w:pPr>
            <w:r w:rsidRPr="0004033F">
              <w:rPr>
                <w:sz w:val="20"/>
                <w:szCs w:val="20"/>
              </w:rPr>
              <w:t>EKV</w:t>
            </w:r>
            <w:r>
              <w:rPr>
                <w:sz w:val="20"/>
                <w:szCs w:val="20"/>
              </w:rPr>
              <w:t>-</w:t>
            </w:r>
            <w:r w:rsidRPr="0004033F">
              <w:rPr>
                <w:sz w:val="20"/>
                <w:szCs w:val="20"/>
              </w:rPr>
              <w:t>2</w:t>
            </w:r>
          </w:p>
        </w:tc>
        <w:tc>
          <w:tcPr>
            <w:tcW w:w="1320" w:type="dxa"/>
            <w:noWrap/>
            <w:hideMark/>
          </w:tcPr>
          <w:p w14:paraId="129B8B67" w14:textId="77777777" w:rsidR="0004033F" w:rsidRPr="0004033F" w:rsidRDefault="0004033F" w:rsidP="0004033F">
            <w:pPr>
              <w:rPr>
                <w:sz w:val="20"/>
                <w:szCs w:val="20"/>
              </w:rPr>
            </w:pPr>
            <w:r w:rsidRPr="0004033F">
              <w:rPr>
                <w:sz w:val="20"/>
                <w:szCs w:val="20"/>
              </w:rPr>
              <w:t>41.6</w:t>
            </w:r>
          </w:p>
        </w:tc>
        <w:tc>
          <w:tcPr>
            <w:tcW w:w="1320" w:type="dxa"/>
            <w:noWrap/>
            <w:hideMark/>
          </w:tcPr>
          <w:p w14:paraId="743FA2CA" w14:textId="77777777" w:rsidR="0004033F" w:rsidRPr="0004033F" w:rsidRDefault="0004033F" w:rsidP="0004033F">
            <w:pPr>
              <w:rPr>
                <w:sz w:val="20"/>
                <w:szCs w:val="20"/>
              </w:rPr>
            </w:pPr>
            <w:r w:rsidRPr="0004033F">
              <w:rPr>
                <w:sz w:val="20"/>
                <w:szCs w:val="20"/>
              </w:rPr>
              <w:t>41.6</w:t>
            </w:r>
          </w:p>
        </w:tc>
        <w:tc>
          <w:tcPr>
            <w:tcW w:w="1320" w:type="dxa"/>
            <w:noWrap/>
            <w:hideMark/>
          </w:tcPr>
          <w:p w14:paraId="48551E50" w14:textId="77777777" w:rsidR="0004033F" w:rsidRPr="0004033F" w:rsidRDefault="0004033F" w:rsidP="0004033F">
            <w:pPr>
              <w:rPr>
                <w:sz w:val="20"/>
                <w:szCs w:val="20"/>
              </w:rPr>
            </w:pPr>
            <w:r w:rsidRPr="0004033F">
              <w:rPr>
                <w:sz w:val="20"/>
                <w:szCs w:val="20"/>
              </w:rPr>
              <w:t>41.1</w:t>
            </w:r>
          </w:p>
        </w:tc>
        <w:tc>
          <w:tcPr>
            <w:tcW w:w="1320" w:type="dxa"/>
            <w:noWrap/>
            <w:hideMark/>
          </w:tcPr>
          <w:p w14:paraId="0478B184" w14:textId="77777777" w:rsidR="0004033F" w:rsidRPr="0004033F" w:rsidRDefault="0004033F" w:rsidP="0004033F">
            <w:pPr>
              <w:rPr>
                <w:sz w:val="20"/>
                <w:szCs w:val="20"/>
              </w:rPr>
            </w:pPr>
            <w:r w:rsidRPr="0004033F">
              <w:rPr>
                <w:sz w:val="20"/>
                <w:szCs w:val="20"/>
              </w:rPr>
              <w:t>42.9</w:t>
            </w:r>
          </w:p>
        </w:tc>
        <w:tc>
          <w:tcPr>
            <w:tcW w:w="1320" w:type="dxa"/>
            <w:noWrap/>
            <w:hideMark/>
          </w:tcPr>
          <w:p w14:paraId="253ECF40" w14:textId="77777777" w:rsidR="0004033F" w:rsidRPr="0004033F" w:rsidRDefault="0004033F" w:rsidP="0004033F">
            <w:pPr>
              <w:rPr>
                <w:sz w:val="20"/>
                <w:szCs w:val="20"/>
              </w:rPr>
            </w:pPr>
            <w:r w:rsidRPr="0004033F">
              <w:rPr>
                <w:sz w:val="20"/>
                <w:szCs w:val="20"/>
              </w:rPr>
              <w:t>41.6</w:t>
            </w:r>
          </w:p>
        </w:tc>
        <w:tc>
          <w:tcPr>
            <w:tcW w:w="1320" w:type="dxa"/>
            <w:noWrap/>
            <w:hideMark/>
          </w:tcPr>
          <w:p w14:paraId="75A189DC" w14:textId="77777777" w:rsidR="0004033F" w:rsidRPr="0004033F" w:rsidRDefault="0004033F" w:rsidP="0004033F">
            <w:pPr>
              <w:rPr>
                <w:sz w:val="20"/>
                <w:szCs w:val="20"/>
              </w:rPr>
            </w:pPr>
            <w:r w:rsidRPr="0004033F">
              <w:rPr>
                <w:sz w:val="20"/>
                <w:szCs w:val="20"/>
              </w:rPr>
              <w:t>44.6</w:t>
            </w:r>
          </w:p>
        </w:tc>
        <w:tc>
          <w:tcPr>
            <w:tcW w:w="1320" w:type="dxa"/>
            <w:noWrap/>
            <w:hideMark/>
          </w:tcPr>
          <w:p w14:paraId="5132C54A" w14:textId="77777777" w:rsidR="0004033F" w:rsidRPr="0004033F" w:rsidRDefault="0004033F" w:rsidP="0004033F">
            <w:pPr>
              <w:rPr>
                <w:sz w:val="20"/>
                <w:szCs w:val="20"/>
              </w:rPr>
            </w:pPr>
            <w:r w:rsidRPr="0004033F">
              <w:rPr>
                <w:sz w:val="20"/>
                <w:szCs w:val="20"/>
              </w:rPr>
              <w:t>100</w:t>
            </w:r>
          </w:p>
        </w:tc>
        <w:tc>
          <w:tcPr>
            <w:tcW w:w="1320" w:type="dxa"/>
            <w:noWrap/>
            <w:hideMark/>
          </w:tcPr>
          <w:p w14:paraId="23C79834" w14:textId="77777777" w:rsidR="0004033F" w:rsidRPr="0004033F" w:rsidRDefault="0004033F" w:rsidP="0004033F">
            <w:pPr>
              <w:rPr>
                <w:sz w:val="20"/>
                <w:szCs w:val="20"/>
              </w:rPr>
            </w:pPr>
            <w:r w:rsidRPr="0004033F">
              <w:rPr>
                <w:sz w:val="20"/>
                <w:szCs w:val="20"/>
              </w:rPr>
              <w:t> </w:t>
            </w:r>
          </w:p>
        </w:tc>
      </w:tr>
      <w:tr w:rsidR="0004033F" w:rsidRPr="0004033F" w14:paraId="44BEE0A3" w14:textId="77777777" w:rsidTr="0004033F">
        <w:trPr>
          <w:trHeight w:val="315"/>
        </w:trPr>
        <w:tc>
          <w:tcPr>
            <w:tcW w:w="1320" w:type="dxa"/>
            <w:noWrap/>
            <w:hideMark/>
          </w:tcPr>
          <w:p w14:paraId="58CA1353" w14:textId="77777777" w:rsidR="0004033F" w:rsidRPr="0004033F" w:rsidRDefault="0004033F" w:rsidP="0004033F">
            <w:pPr>
              <w:rPr>
                <w:sz w:val="20"/>
                <w:szCs w:val="20"/>
              </w:rPr>
            </w:pPr>
            <w:r w:rsidRPr="0004033F">
              <w:rPr>
                <w:sz w:val="20"/>
                <w:szCs w:val="20"/>
              </w:rPr>
              <w:t>BASV</w:t>
            </w:r>
          </w:p>
        </w:tc>
        <w:tc>
          <w:tcPr>
            <w:tcW w:w="1320" w:type="dxa"/>
            <w:noWrap/>
            <w:hideMark/>
          </w:tcPr>
          <w:p w14:paraId="5B54490B" w14:textId="77777777" w:rsidR="0004033F" w:rsidRPr="0004033F" w:rsidRDefault="0004033F" w:rsidP="0004033F">
            <w:pPr>
              <w:rPr>
                <w:sz w:val="20"/>
                <w:szCs w:val="20"/>
              </w:rPr>
            </w:pPr>
            <w:r w:rsidRPr="0004033F">
              <w:rPr>
                <w:sz w:val="20"/>
                <w:szCs w:val="20"/>
              </w:rPr>
              <w:t>43</w:t>
            </w:r>
          </w:p>
        </w:tc>
        <w:tc>
          <w:tcPr>
            <w:tcW w:w="1320" w:type="dxa"/>
            <w:noWrap/>
            <w:hideMark/>
          </w:tcPr>
          <w:p w14:paraId="4B83086E" w14:textId="77777777" w:rsidR="0004033F" w:rsidRPr="0004033F" w:rsidRDefault="0004033F" w:rsidP="0004033F">
            <w:pPr>
              <w:rPr>
                <w:sz w:val="20"/>
                <w:szCs w:val="20"/>
              </w:rPr>
            </w:pPr>
            <w:r w:rsidRPr="0004033F">
              <w:rPr>
                <w:sz w:val="20"/>
                <w:szCs w:val="20"/>
              </w:rPr>
              <w:t>43.3</w:t>
            </w:r>
          </w:p>
        </w:tc>
        <w:tc>
          <w:tcPr>
            <w:tcW w:w="1320" w:type="dxa"/>
            <w:noWrap/>
            <w:hideMark/>
          </w:tcPr>
          <w:p w14:paraId="7CE75134" w14:textId="77777777" w:rsidR="0004033F" w:rsidRPr="0004033F" w:rsidRDefault="0004033F" w:rsidP="0004033F">
            <w:pPr>
              <w:rPr>
                <w:sz w:val="20"/>
                <w:szCs w:val="20"/>
              </w:rPr>
            </w:pPr>
            <w:r w:rsidRPr="0004033F">
              <w:rPr>
                <w:sz w:val="20"/>
                <w:szCs w:val="20"/>
              </w:rPr>
              <w:t>43.1</w:t>
            </w:r>
          </w:p>
        </w:tc>
        <w:tc>
          <w:tcPr>
            <w:tcW w:w="1320" w:type="dxa"/>
            <w:noWrap/>
            <w:hideMark/>
          </w:tcPr>
          <w:p w14:paraId="512331A6" w14:textId="77777777" w:rsidR="0004033F" w:rsidRPr="0004033F" w:rsidRDefault="0004033F" w:rsidP="0004033F">
            <w:pPr>
              <w:rPr>
                <w:sz w:val="20"/>
                <w:szCs w:val="20"/>
              </w:rPr>
            </w:pPr>
            <w:r w:rsidRPr="0004033F">
              <w:rPr>
                <w:sz w:val="20"/>
                <w:szCs w:val="20"/>
              </w:rPr>
              <w:t>43.3</w:t>
            </w:r>
          </w:p>
        </w:tc>
        <w:tc>
          <w:tcPr>
            <w:tcW w:w="1320" w:type="dxa"/>
            <w:noWrap/>
            <w:hideMark/>
          </w:tcPr>
          <w:p w14:paraId="4E348D96" w14:textId="77777777" w:rsidR="0004033F" w:rsidRPr="0004033F" w:rsidRDefault="0004033F" w:rsidP="0004033F">
            <w:pPr>
              <w:rPr>
                <w:sz w:val="20"/>
                <w:szCs w:val="20"/>
              </w:rPr>
            </w:pPr>
            <w:r w:rsidRPr="0004033F">
              <w:rPr>
                <w:sz w:val="20"/>
                <w:szCs w:val="20"/>
              </w:rPr>
              <w:t>42.3</w:t>
            </w:r>
          </w:p>
        </w:tc>
        <w:tc>
          <w:tcPr>
            <w:tcW w:w="1320" w:type="dxa"/>
            <w:noWrap/>
            <w:hideMark/>
          </w:tcPr>
          <w:p w14:paraId="51289CFE" w14:textId="77777777" w:rsidR="0004033F" w:rsidRPr="0004033F" w:rsidRDefault="0004033F" w:rsidP="0004033F">
            <w:pPr>
              <w:rPr>
                <w:sz w:val="20"/>
                <w:szCs w:val="20"/>
              </w:rPr>
            </w:pPr>
            <w:r w:rsidRPr="0004033F">
              <w:rPr>
                <w:sz w:val="20"/>
                <w:szCs w:val="20"/>
              </w:rPr>
              <w:t>44.1</w:t>
            </w:r>
          </w:p>
        </w:tc>
        <w:tc>
          <w:tcPr>
            <w:tcW w:w="1320" w:type="dxa"/>
            <w:noWrap/>
            <w:hideMark/>
          </w:tcPr>
          <w:p w14:paraId="1E1B8C86" w14:textId="77777777" w:rsidR="0004033F" w:rsidRPr="0004033F" w:rsidRDefault="0004033F" w:rsidP="0004033F">
            <w:pPr>
              <w:rPr>
                <w:sz w:val="20"/>
                <w:szCs w:val="20"/>
              </w:rPr>
            </w:pPr>
            <w:r w:rsidRPr="0004033F">
              <w:rPr>
                <w:sz w:val="20"/>
                <w:szCs w:val="20"/>
              </w:rPr>
              <w:t>50.8</w:t>
            </w:r>
          </w:p>
        </w:tc>
        <w:tc>
          <w:tcPr>
            <w:tcW w:w="1320" w:type="dxa"/>
            <w:noWrap/>
            <w:hideMark/>
          </w:tcPr>
          <w:p w14:paraId="21EAB8C3" w14:textId="77777777" w:rsidR="0004033F" w:rsidRPr="0004033F" w:rsidRDefault="0004033F" w:rsidP="0004033F">
            <w:pPr>
              <w:rPr>
                <w:sz w:val="20"/>
                <w:szCs w:val="20"/>
              </w:rPr>
            </w:pPr>
            <w:r w:rsidRPr="0004033F">
              <w:rPr>
                <w:sz w:val="20"/>
                <w:szCs w:val="20"/>
              </w:rPr>
              <w:t>100</w:t>
            </w:r>
          </w:p>
        </w:tc>
      </w:tr>
    </w:tbl>
    <w:p w14:paraId="44E4E167" w14:textId="77777777" w:rsidR="0004033F" w:rsidRDefault="0004033F">
      <w:pPr>
        <w:rPr>
          <w:b/>
          <w:sz w:val="20"/>
          <w:szCs w:val="20"/>
        </w:rPr>
      </w:pPr>
    </w:p>
    <w:p w14:paraId="4116EB3E" w14:textId="77777777" w:rsidR="0004033F" w:rsidRDefault="0004033F" w:rsidP="00DB32CF">
      <w:pPr>
        <w:spacing w:after="120"/>
        <w:rPr>
          <w:b/>
          <w:sz w:val="20"/>
          <w:szCs w:val="20"/>
        </w:rPr>
      </w:pPr>
    </w:p>
    <w:p w14:paraId="6D5D79EE" w14:textId="77777777" w:rsidR="0004033F" w:rsidRDefault="0004033F" w:rsidP="00DB32CF">
      <w:pPr>
        <w:spacing w:after="120"/>
        <w:rPr>
          <w:b/>
          <w:sz w:val="20"/>
          <w:szCs w:val="20"/>
        </w:rPr>
      </w:pPr>
    </w:p>
    <w:p w14:paraId="4A7A58F5" w14:textId="2072C0DC" w:rsidR="00DB32CF" w:rsidRPr="00DB32CF" w:rsidRDefault="00DB32CF" w:rsidP="00DB32CF">
      <w:pPr>
        <w:spacing w:after="120"/>
        <w:rPr>
          <w:sz w:val="20"/>
          <w:szCs w:val="20"/>
        </w:rPr>
      </w:pPr>
      <w:r w:rsidRPr="00DB32CF">
        <w:rPr>
          <w:b/>
          <w:sz w:val="20"/>
          <w:szCs w:val="20"/>
        </w:rPr>
        <w:t>Fig. 1.</w:t>
      </w:r>
      <w:r w:rsidRPr="00DB32CF">
        <w:rPr>
          <w:sz w:val="20"/>
          <w:szCs w:val="20"/>
        </w:rPr>
        <w:t xml:space="preserve"> A maximum-likelihood phylogenetic tree inferred from a MUSCLE alignment of the full-length L protein sequences of </w:t>
      </w:r>
      <w:r w:rsidRPr="00181610">
        <w:rPr>
          <w:b/>
          <w:color w:val="7030A0"/>
          <w:sz w:val="20"/>
          <w:szCs w:val="20"/>
        </w:rPr>
        <w:t>Beatrice Hill virus (BHV)</w:t>
      </w:r>
      <w:r w:rsidRPr="00DB32CF">
        <w:rPr>
          <w:sz w:val="20"/>
          <w:szCs w:val="20"/>
        </w:rPr>
        <w:t>, 121 rhabdoviruses assigned to 18 genera and one rhabdovirus (Moussa virus, MOUV) which is currently classified to an unassigned rhabdovirus species. Full-length L protein sequences are not currently available for other rhabdoviruses assigned to species. Ambiguously aligned amino acid residues were removed using Gblocks with 484 positions remaining in the final dataset. The evolutionary history was inferred by using the WAG + frequency model. The initial tree for the heuristic search was obtained automatically by applying the neighbor-joining algorithm to a matrix of pairwise distances estimated using a JTT model, and then selecting the topology with superior log likelihood value. The tree with the highest log likelihood (-48495.5959) is shown. Asterisks (*) indicate well-supported nodes in the tree (bootstrap proportion ≥ 75%) following 1000 iterations. The tree is drawn to scale, with branch lengths measured in the number of substitutions per site, the scale bar indicating a value of 0.2. Evolutionary analyses were conducted in MEGA7. </w:t>
      </w:r>
    </w:p>
    <w:p w14:paraId="1E4AD076" w14:textId="42E82A02" w:rsidR="00D44054" w:rsidRPr="008A76C1" w:rsidRDefault="00D44054" w:rsidP="00077A77">
      <w:pPr>
        <w:spacing w:after="120"/>
        <w:ind w:firstLine="720"/>
      </w:pPr>
    </w:p>
    <w:p w14:paraId="3EFFBEB0" w14:textId="348A6131" w:rsidR="00077A77" w:rsidRDefault="00077A77">
      <w:pPr>
        <w:rPr>
          <w:b/>
        </w:rPr>
      </w:pPr>
    </w:p>
    <w:p w14:paraId="40C6ABA9" w14:textId="77777777" w:rsidR="00077A77" w:rsidRDefault="00077A77" w:rsidP="00D44054">
      <w:pPr>
        <w:spacing w:after="120"/>
        <w:rPr>
          <w:b/>
        </w:rPr>
      </w:pPr>
      <w:r>
        <w:rPr>
          <w:b/>
          <w:noProof/>
          <w:lang w:val="en-GB" w:eastAsia="en-GB"/>
        </w:rPr>
        <w:drawing>
          <wp:inline distT="0" distB="0" distL="0" distR="0" wp14:anchorId="2E3CF022" wp14:editId="41F7358F">
            <wp:extent cx="6000750" cy="8486775"/>
            <wp:effectExtent l="0" t="0" r="0" b="9525"/>
            <wp:docPr id="2" name="Picture 2" descr="C:\Users\kuhnjens\AppData\Local\Microsoft\Windows\INetCache\Content.Word\Tree with BHV 220817.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uhnjens\AppData\Local\Microsoft\Windows\INetCache\Content.Word\Tree with BHV 220817.tif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00750" cy="8486775"/>
                    </a:xfrm>
                    <a:prstGeom prst="rect">
                      <a:avLst/>
                    </a:prstGeom>
                    <a:noFill/>
                    <a:ln>
                      <a:noFill/>
                    </a:ln>
                  </pic:spPr>
                </pic:pic>
              </a:graphicData>
            </a:graphic>
          </wp:inline>
        </w:drawing>
      </w:r>
    </w:p>
    <w:p w14:paraId="3E819B1E" w14:textId="75671D75" w:rsidR="00077A77" w:rsidRDefault="00077A77">
      <w:pPr>
        <w:rPr>
          <w:b/>
        </w:rPr>
      </w:pPr>
    </w:p>
    <w:p w14:paraId="2D615B9B" w14:textId="20B4432B" w:rsidR="00D44054" w:rsidRDefault="00D44054" w:rsidP="00D44054">
      <w:pPr>
        <w:spacing w:after="120"/>
        <w:rPr>
          <w:b/>
        </w:rPr>
      </w:pPr>
      <w:r>
        <w:rPr>
          <w:b/>
        </w:rPr>
        <w:t>References:</w:t>
      </w:r>
    </w:p>
    <w:p w14:paraId="0B04166A" w14:textId="77777777" w:rsidR="00D44054" w:rsidRDefault="00D44054" w:rsidP="00D44054">
      <w:pPr>
        <w:spacing w:after="120"/>
        <w:rPr>
          <w:b/>
        </w:rPr>
      </w:pPr>
      <w:r w:rsidRPr="00F87BAB">
        <w:rPr>
          <w:b/>
        </w:rPr>
        <w:t>Bao Y, Chetvernin V, Tatusova T.</w:t>
      </w:r>
      <w:r w:rsidRPr="00F87BAB">
        <w:t xml:space="preserve"> 2014. Improvements to pairwise sequence comparison (PASC): a genome-based web tool for virus classification. Arch Virol </w:t>
      </w:r>
      <w:r w:rsidRPr="00F87BAB">
        <w:rPr>
          <w:b/>
        </w:rPr>
        <w:t>159:</w:t>
      </w:r>
      <w:r w:rsidRPr="00F87BAB">
        <w:t>3293-3304</w:t>
      </w:r>
    </w:p>
    <w:p w14:paraId="36DC9076" w14:textId="77777777" w:rsidR="00D44054" w:rsidRDefault="00D44054" w:rsidP="00D44054">
      <w:pPr>
        <w:spacing w:after="120"/>
        <w:rPr>
          <w:b/>
        </w:rPr>
      </w:pPr>
      <w:r w:rsidRPr="00F87BAB">
        <w:rPr>
          <w:b/>
        </w:rPr>
        <w:t>Huang B, Allcock R, Warrilow D.</w:t>
      </w:r>
      <w:r w:rsidRPr="00F87BAB">
        <w:t xml:space="preserve"> 2016. Newly characterized arboviruses of northern Australia. Virology Reports </w:t>
      </w:r>
      <w:r w:rsidRPr="00F87BAB">
        <w:rPr>
          <w:b/>
        </w:rPr>
        <w:t>6:</w:t>
      </w:r>
      <w:r w:rsidRPr="00F87BAB">
        <w:t>11-17</w:t>
      </w:r>
    </w:p>
    <w:p w14:paraId="60AA8412" w14:textId="30B83CB0" w:rsidR="008E736E" w:rsidRDefault="00D44054" w:rsidP="00AC0E72">
      <w:r w:rsidRPr="00F87BAB">
        <w:rPr>
          <w:b/>
        </w:rPr>
        <w:t>Standfast HA, Dyce AL, St George TD, Muller MJ, Doherty RL, Carley JG, Filippich C.</w:t>
      </w:r>
      <w:r w:rsidRPr="00F87BAB">
        <w:t xml:space="preserve"> 1984. Isolation of arboviruses from insects collected at Beatrice Hill, Northern Territory</w:t>
      </w:r>
      <w:r>
        <w:rPr>
          <w:b/>
        </w:rPr>
        <w:t xml:space="preserve"> </w:t>
      </w:r>
      <w:r w:rsidRPr="00F87BAB">
        <w:t xml:space="preserve">of Australia, 1974-1976. Aust J Biol Sci </w:t>
      </w:r>
      <w:r w:rsidRPr="00F87BAB">
        <w:rPr>
          <w:b/>
        </w:rPr>
        <w:t>37:</w:t>
      </w:r>
      <w:r w:rsidRPr="00F87BAB">
        <w:t>351-366</w:t>
      </w:r>
    </w:p>
    <w:p w14:paraId="26FD05EE" w14:textId="19C3280E" w:rsidR="00DA0107" w:rsidRDefault="00DA0107" w:rsidP="00AC0E72"/>
    <w:p w14:paraId="6EE45EC0" w14:textId="23C61417" w:rsidR="006841C0" w:rsidRDefault="006841C0" w:rsidP="00AC0E72">
      <w:r w:rsidRPr="00396DB6">
        <w:rPr>
          <w:b/>
          <w:noProof/>
        </w:rPr>
        <w:t xml:space="preserve">Walker PJ, Firth C, Widen SG, Blasdell KR, Guzman H, Wood TG, Paradkar PN, Holmes EC, Tesh RB, Vasilakis N. </w:t>
      </w:r>
      <w:r w:rsidRPr="00396DB6">
        <w:rPr>
          <w:noProof/>
        </w:rPr>
        <w:t xml:space="preserve">2015. Evolution of genome size and complexity in the </w:t>
      </w:r>
      <w:r w:rsidRPr="00396DB6">
        <w:rPr>
          <w:i/>
          <w:noProof/>
        </w:rPr>
        <w:t>Rhabdoviridae</w:t>
      </w:r>
      <w:r w:rsidRPr="00396DB6">
        <w:rPr>
          <w:noProof/>
        </w:rPr>
        <w:t xml:space="preserve">. PLoS Pathog </w:t>
      </w:r>
      <w:r w:rsidRPr="00396DB6">
        <w:rPr>
          <w:b/>
          <w:noProof/>
        </w:rPr>
        <w:t>11:</w:t>
      </w:r>
      <w:r w:rsidRPr="00396DB6">
        <w:rPr>
          <w:noProof/>
        </w:rPr>
        <w:t>e1004664</w:t>
      </w:r>
    </w:p>
    <w:p w14:paraId="0484328B" w14:textId="77777777" w:rsidR="006841C0" w:rsidRDefault="006841C0" w:rsidP="00AC0E72"/>
    <w:p w14:paraId="774A855B" w14:textId="2115DB7E" w:rsidR="00DA0107" w:rsidRDefault="00DA0107" w:rsidP="00DA0107">
      <w:pPr>
        <w:pStyle w:val="BodyTextIndent"/>
        <w:tabs>
          <w:tab w:val="left" w:pos="1860"/>
        </w:tabs>
        <w:ind w:left="0" w:firstLine="0"/>
        <w:rPr>
          <w:lang w:val="en-GB"/>
        </w:rPr>
      </w:pPr>
      <w:r w:rsidRPr="00DA0107">
        <w:rPr>
          <w:rFonts w:ascii="Times New Roman" w:hAnsi="Times New Roman"/>
          <w:b/>
          <w:color w:val="000000"/>
        </w:rPr>
        <w:t>Wiley MR, Prieto K, Blasdell KR, Caì Y, Campos Lawson C, Walker PJ, Chiu CY, Palacios G, Kuhn JH.</w:t>
      </w:r>
      <w:r>
        <w:rPr>
          <w:rFonts w:ascii="Times New Roman" w:hAnsi="Times New Roman"/>
          <w:color w:val="000000"/>
        </w:rPr>
        <w:t xml:space="preserve"> 2017. </w:t>
      </w:r>
      <w:r w:rsidRPr="00DA0107">
        <w:rPr>
          <w:rFonts w:ascii="Times New Roman" w:hAnsi="Times New Roman"/>
          <w:color w:val="000000"/>
        </w:rPr>
        <w:t xml:space="preserve">Beatrice Hill Virus Represents a Novel Species in the Genus </w:t>
      </w:r>
      <w:r w:rsidRPr="00DA0107">
        <w:rPr>
          <w:rFonts w:ascii="Times New Roman" w:hAnsi="Times New Roman"/>
          <w:i/>
          <w:color w:val="000000"/>
        </w:rPr>
        <w:t>Tibrovirus</w:t>
      </w:r>
      <w:r w:rsidRPr="00DA0107">
        <w:rPr>
          <w:rFonts w:ascii="Times New Roman" w:hAnsi="Times New Roman"/>
          <w:color w:val="000000"/>
        </w:rPr>
        <w:t xml:space="preserve"> (</w:t>
      </w:r>
      <w:r w:rsidRPr="00DA0107">
        <w:rPr>
          <w:rFonts w:ascii="Times New Roman" w:hAnsi="Times New Roman"/>
          <w:i/>
          <w:color w:val="000000"/>
        </w:rPr>
        <w:t>Mononegavirales</w:t>
      </w:r>
      <w:r w:rsidRPr="00DA0107">
        <w:rPr>
          <w:rFonts w:ascii="Times New Roman" w:hAnsi="Times New Roman"/>
          <w:color w:val="000000"/>
        </w:rPr>
        <w:t xml:space="preserve">: </w:t>
      </w:r>
      <w:r w:rsidRPr="00DA0107">
        <w:rPr>
          <w:rFonts w:ascii="Times New Roman" w:hAnsi="Times New Roman"/>
          <w:i/>
          <w:color w:val="000000"/>
        </w:rPr>
        <w:t>Rhabdoviridae</w:t>
      </w:r>
      <w:r w:rsidRPr="00DA0107">
        <w:rPr>
          <w:rFonts w:ascii="Times New Roman" w:hAnsi="Times New Roman"/>
          <w:color w:val="000000"/>
        </w:rPr>
        <w:t>).</w:t>
      </w:r>
      <w:r>
        <w:rPr>
          <w:rFonts w:ascii="Times New Roman" w:hAnsi="Times New Roman"/>
          <w:color w:val="000000"/>
        </w:rPr>
        <w:t xml:space="preserve"> Genome Announc </w:t>
      </w:r>
      <w:r w:rsidRPr="00DA0107">
        <w:rPr>
          <w:rFonts w:ascii="Times New Roman" w:hAnsi="Times New Roman"/>
          <w:b/>
          <w:color w:val="000000"/>
        </w:rPr>
        <w:t>5:</w:t>
      </w:r>
      <w:r>
        <w:rPr>
          <w:rFonts w:ascii="Times New Roman" w:hAnsi="Times New Roman"/>
          <w:color w:val="000000"/>
        </w:rPr>
        <w:t>e01485-16</w:t>
      </w:r>
    </w:p>
    <w:p w14:paraId="08999895" w14:textId="5015BB19" w:rsidR="00CE0DE4" w:rsidRPr="00991A82" w:rsidRDefault="008E0960"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3A5890B8" wp14:editId="039040E1">
                <wp:simplePos x="0" y="0"/>
                <wp:positionH relativeFrom="column">
                  <wp:posOffset>0</wp:posOffset>
                </wp:positionH>
                <wp:positionV relativeFrom="paragraph">
                  <wp:posOffset>196850</wp:posOffset>
                </wp:positionV>
                <wp:extent cx="5600700" cy="0"/>
                <wp:effectExtent l="19050" t="15875" r="19050" b="1270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CF26DB"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991A82">
      <w:headerReference w:type="default" r:id="rId11"/>
      <w:footerReference w:type="default" r:id="rId1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B33794" w14:textId="77777777" w:rsidR="006411AC" w:rsidRDefault="006411AC" w:rsidP="00077A77">
      <w:pPr>
        <w:pStyle w:val="Header"/>
      </w:pPr>
      <w:r>
        <w:separator/>
      </w:r>
    </w:p>
  </w:endnote>
  <w:endnote w:type="continuationSeparator" w:id="0">
    <w:p w14:paraId="2FD78CE9" w14:textId="77777777" w:rsidR="006411AC" w:rsidRDefault="006411AC" w:rsidP="00077A77">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D183A" w14:textId="0005582A"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C52D98">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C52D98">
      <w:rPr>
        <w:rFonts w:ascii="Arial" w:hAnsi="Arial" w:cs="Arial"/>
        <w:noProof/>
        <w:color w:val="808080"/>
        <w:sz w:val="20"/>
      </w:rPr>
      <w:t>6</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65C1E7" w14:textId="77777777" w:rsidR="006411AC" w:rsidRDefault="006411AC" w:rsidP="00077A77">
      <w:pPr>
        <w:pStyle w:val="Header"/>
      </w:pPr>
      <w:r>
        <w:separator/>
      </w:r>
    </w:p>
  </w:footnote>
  <w:footnote w:type="continuationSeparator" w:id="0">
    <w:p w14:paraId="7FCA0FC6" w14:textId="77777777" w:rsidR="006411AC" w:rsidRDefault="006411AC" w:rsidP="00077A77">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109D4" w14:textId="77777777" w:rsidR="007E6C07" w:rsidRPr="00F369A4" w:rsidRDefault="007E6C07" w:rsidP="00802D02">
    <w:pPr>
      <w:pStyle w:val="Header"/>
      <w:jc w:val="right"/>
      <w:rPr>
        <w:rFonts w:ascii="Calibri" w:hAnsi="Calibri"/>
        <w:sz w:val="22"/>
        <w:szCs w:val="22"/>
      </w:rPr>
    </w:pPr>
    <w:r w:rsidRPr="00F369A4">
      <w:rPr>
        <w:rFonts w:ascii="Calibri" w:hAnsi="Calibri"/>
        <w:sz w:val="22"/>
        <w:szCs w:val="22"/>
      </w:rPr>
      <w:t>1</w:t>
    </w:r>
    <w:r w:rsidR="00104A4B">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4F39"/>
    <w:rsid w:val="00016519"/>
    <w:rsid w:val="00024051"/>
    <w:rsid w:val="000315E5"/>
    <w:rsid w:val="00034DE5"/>
    <w:rsid w:val="000360CB"/>
    <w:rsid w:val="0004033F"/>
    <w:rsid w:val="000420CB"/>
    <w:rsid w:val="0004304B"/>
    <w:rsid w:val="00072CC5"/>
    <w:rsid w:val="0007549A"/>
    <w:rsid w:val="00077A77"/>
    <w:rsid w:val="00093DD3"/>
    <w:rsid w:val="000A34C0"/>
    <w:rsid w:val="000A6DE3"/>
    <w:rsid w:val="000A7F1C"/>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1610"/>
    <w:rsid w:val="00185699"/>
    <w:rsid w:val="001946B2"/>
    <w:rsid w:val="001A6A90"/>
    <w:rsid w:val="001C5EE1"/>
    <w:rsid w:val="001E59C1"/>
    <w:rsid w:val="001E7FD5"/>
    <w:rsid w:val="001F4031"/>
    <w:rsid w:val="00202BB3"/>
    <w:rsid w:val="00205FA0"/>
    <w:rsid w:val="00210B49"/>
    <w:rsid w:val="00212269"/>
    <w:rsid w:val="002129A8"/>
    <w:rsid w:val="0022566F"/>
    <w:rsid w:val="002361B7"/>
    <w:rsid w:val="00236673"/>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4104"/>
    <w:rsid w:val="00306A5E"/>
    <w:rsid w:val="00315AEE"/>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D08E5"/>
    <w:rsid w:val="003E02C3"/>
    <w:rsid w:val="003E3AB2"/>
    <w:rsid w:val="003E7EEC"/>
    <w:rsid w:val="003F0180"/>
    <w:rsid w:val="00402B0B"/>
    <w:rsid w:val="00404ECA"/>
    <w:rsid w:val="00413670"/>
    <w:rsid w:val="004152C9"/>
    <w:rsid w:val="00422FF0"/>
    <w:rsid w:val="004435EC"/>
    <w:rsid w:val="00444E1E"/>
    <w:rsid w:val="00447321"/>
    <w:rsid w:val="0044774D"/>
    <w:rsid w:val="0047500D"/>
    <w:rsid w:val="004937AC"/>
    <w:rsid w:val="00494623"/>
    <w:rsid w:val="004A350D"/>
    <w:rsid w:val="004A3DAC"/>
    <w:rsid w:val="004A6F2D"/>
    <w:rsid w:val="004B0C50"/>
    <w:rsid w:val="004B5D02"/>
    <w:rsid w:val="004C30A2"/>
    <w:rsid w:val="004C7BA9"/>
    <w:rsid w:val="004D1DAD"/>
    <w:rsid w:val="004D21E1"/>
    <w:rsid w:val="004D5AE7"/>
    <w:rsid w:val="004D748F"/>
    <w:rsid w:val="004E077F"/>
    <w:rsid w:val="004F23EA"/>
    <w:rsid w:val="004F771E"/>
    <w:rsid w:val="0050228B"/>
    <w:rsid w:val="00503E8B"/>
    <w:rsid w:val="00505D9F"/>
    <w:rsid w:val="0050662A"/>
    <w:rsid w:val="00516D9F"/>
    <w:rsid w:val="005201AD"/>
    <w:rsid w:val="00521073"/>
    <w:rsid w:val="00522E71"/>
    <w:rsid w:val="00530EFE"/>
    <w:rsid w:val="00533796"/>
    <w:rsid w:val="00534EED"/>
    <w:rsid w:val="005368BD"/>
    <w:rsid w:val="005507C1"/>
    <w:rsid w:val="00581ED1"/>
    <w:rsid w:val="005929A4"/>
    <w:rsid w:val="005953F1"/>
    <w:rsid w:val="005B600C"/>
    <w:rsid w:val="005C7D29"/>
    <w:rsid w:val="005D0BFD"/>
    <w:rsid w:val="005D19C9"/>
    <w:rsid w:val="005D7EC4"/>
    <w:rsid w:val="005D7F24"/>
    <w:rsid w:val="005F1ADE"/>
    <w:rsid w:val="005F4309"/>
    <w:rsid w:val="005F53C1"/>
    <w:rsid w:val="00603CFD"/>
    <w:rsid w:val="006071CA"/>
    <w:rsid w:val="0061592E"/>
    <w:rsid w:val="00616487"/>
    <w:rsid w:val="00617B84"/>
    <w:rsid w:val="00623274"/>
    <w:rsid w:val="00633947"/>
    <w:rsid w:val="00635404"/>
    <w:rsid w:val="00636B14"/>
    <w:rsid w:val="00637004"/>
    <w:rsid w:val="00637223"/>
    <w:rsid w:val="006411AC"/>
    <w:rsid w:val="00650171"/>
    <w:rsid w:val="006841C0"/>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20D17"/>
    <w:rsid w:val="00724281"/>
    <w:rsid w:val="00724490"/>
    <w:rsid w:val="00736018"/>
    <w:rsid w:val="00736F49"/>
    <w:rsid w:val="00746025"/>
    <w:rsid w:val="00751194"/>
    <w:rsid w:val="00752D7B"/>
    <w:rsid w:val="007602A2"/>
    <w:rsid w:val="0076759D"/>
    <w:rsid w:val="00774CB4"/>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77F3"/>
    <w:rsid w:val="00830785"/>
    <w:rsid w:val="00835B67"/>
    <w:rsid w:val="008418CD"/>
    <w:rsid w:val="008442CB"/>
    <w:rsid w:val="008655D6"/>
    <w:rsid w:val="008762E5"/>
    <w:rsid w:val="00890FAF"/>
    <w:rsid w:val="00891C67"/>
    <w:rsid w:val="008A76C1"/>
    <w:rsid w:val="008B6D5E"/>
    <w:rsid w:val="008C2CC4"/>
    <w:rsid w:val="008C7B86"/>
    <w:rsid w:val="008E0960"/>
    <w:rsid w:val="008E10B7"/>
    <w:rsid w:val="008E2333"/>
    <w:rsid w:val="008E4E0F"/>
    <w:rsid w:val="008E736E"/>
    <w:rsid w:val="008F03D2"/>
    <w:rsid w:val="008F4957"/>
    <w:rsid w:val="008F5FB1"/>
    <w:rsid w:val="008F6DE4"/>
    <w:rsid w:val="009062EF"/>
    <w:rsid w:val="00915694"/>
    <w:rsid w:val="00926A4D"/>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602F"/>
    <w:rsid w:val="00A03AA4"/>
    <w:rsid w:val="00A11ACF"/>
    <w:rsid w:val="00A26EB0"/>
    <w:rsid w:val="00A27567"/>
    <w:rsid w:val="00A36B4E"/>
    <w:rsid w:val="00A52629"/>
    <w:rsid w:val="00A56BC8"/>
    <w:rsid w:val="00A724DF"/>
    <w:rsid w:val="00A77BC1"/>
    <w:rsid w:val="00A80214"/>
    <w:rsid w:val="00A84D14"/>
    <w:rsid w:val="00A91DF9"/>
    <w:rsid w:val="00AA1E2F"/>
    <w:rsid w:val="00AA308A"/>
    <w:rsid w:val="00AA3952"/>
    <w:rsid w:val="00AC0E72"/>
    <w:rsid w:val="00AD11F4"/>
    <w:rsid w:val="00AD3814"/>
    <w:rsid w:val="00AE2858"/>
    <w:rsid w:val="00AF63CD"/>
    <w:rsid w:val="00AF65C7"/>
    <w:rsid w:val="00B04CD6"/>
    <w:rsid w:val="00B12A01"/>
    <w:rsid w:val="00B12D76"/>
    <w:rsid w:val="00B216A1"/>
    <w:rsid w:val="00B2254A"/>
    <w:rsid w:val="00B34F6A"/>
    <w:rsid w:val="00B45888"/>
    <w:rsid w:val="00B5488B"/>
    <w:rsid w:val="00B63708"/>
    <w:rsid w:val="00B845E3"/>
    <w:rsid w:val="00B84AA0"/>
    <w:rsid w:val="00B85D62"/>
    <w:rsid w:val="00B86BE8"/>
    <w:rsid w:val="00B91D87"/>
    <w:rsid w:val="00B94E8E"/>
    <w:rsid w:val="00BA3080"/>
    <w:rsid w:val="00BB774D"/>
    <w:rsid w:val="00BB7D24"/>
    <w:rsid w:val="00BC2A5D"/>
    <w:rsid w:val="00BD4541"/>
    <w:rsid w:val="00BD47D7"/>
    <w:rsid w:val="00BE06F9"/>
    <w:rsid w:val="00BE18E9"/>
    <w:rsid w:val="00BF7AA8"/>
    <w:rsid w:val="00C06EE4"/>
    <w:rsid w:val="00C12C1B"/>
    <w:rsid w:val="00C15EC4"/>
    <w:rsid w:val="00C165C2"/>
    <w:rsid w:val="00C21863"/>
    <w:rsid w:val="00C245DB"/>
    <w:rsid w:val="00C3224F"/>
    <w:rsid w:val="00C44DF4"/>
    <w:rsid w:val="00C46C65"/>
    <w:rsid w:val="00C52D98"/>
    <w:rsid w:val="00C55862"/>
    <w:rsid w:val="00C64F92"/>
    <w:rsid w:val="00C67A98"/>
    <w:rsid w:val="00C75039"/>
    <w:rsid w:val="00C762C9"/>
    <w:rsid w:val="00C80265"/>
    <w:rsid w:val="00C94A0B"/>
    <w:rsid w:val="00CA56E9"/>
    <w:rsid w:val="00CB3A13"/>
    <w:rsid w:val="00CB434C"/>
    <w:rsid w:val="00CB7C39"/>
    <w:rsid w:val="00CE0DE4"/>
    <w:rsid w:val="00CE2AB3"/>
    <w:rsid w:val="00CE408B"/>
    <w:rsid w:val="00CE5ECF"/>
    <w:rsid w:val="00CF3890"/>
    <w:rsid w:val="00CF5168"/>
    <w:rsid w:val="00D0602A"/>
    <w:rsid w:val="00D109E6"/>
    <w:rsid w:val="00D13294"/>
    <w:rsid w:val="00D15256"/>
    <w:rsid w:val="00D157F5"/>
    <w:rsid w:val="00D15A4D"/>
    <w:rsid w:val="00D1634C"/>
    <w:rsid w:val="00D16A8B"/>
    <w:rsid w:val="00D2300C"/>
    <w:rsid w:val="00D23CE8"/>
    <w:rsid w:val="00D44054"/>
    <w:rsid w:val="00D45CE9"/>
    <w:rsid w:val="00D4648E"/>
    <w:rsid w:val="00D6107E"/>
    <w:rsid w:val="00D62298"/>
    <w:rsid w:val="00D70DF3"/>
    <w:rsid w:val="00D87539"/>
    <w:rsid w:val="00D95C79"/>
    <w:rsid w:val="00DA0107"/>
    <w:rsid w:val="00DA5352"/>
    <w:rsid w:val="00DA5E5A"/>
    <w:rsid w:val="00DA71AC"/>
    <w:rsid w:val="00DA7AE7"/>
    <w:rsid w:val="00DB32CF"/>
    <w:rsid w:val="00DB3CB3"/>
    <w:rsid w:val="00DB4BB2"/>
    <w:rsid w:val="00DC6415"/>
    <w:rsid w:val="00DD00F3"/>
    <w:rsid w:val="00DD65CA"/>
    <w:rsid w:val="00DE105D"/>
    <w:rsid w:val="00DE1FCF"/>
    <w:rsid w:val="00DE21CE"/>
    <w:rsid w:val="00DE3E25"/>
    <w:rsid w:val="00DE73A3"/>
    <w:rsid w:val="00E03681"/>
    <w:rsid w:val="00E11C94"/>
    <w:rsid w:val="00E11F4F"/>
    <w:rsid w:val="00E347C2"/>
    <w:rsid w:val="00E36F9D"/>
    <w:rsid w:val="00E4413A"/>
    <w:rsid w:val="00E57A0B"/>
    <w:rsid w:val="00E60228"/>
    <w:rsid w:val="00E66C21"/>
    <w:rsid w:val="00E73F9A"/>
    <w:rsid w:val="00E946A5"/>
    <w:rsid w:val="00EA06D0"/>
    <w:rsid w:val="00EA1332"/>
    <w:rsid w:val="00EA189D"/>
    <w:rsid w:val="00EA5C82"/>
    <w:rsid w:val="00EA6CA5"/>
    <w:rsid w:val="00EB0413"/>
    <w:rsid w:val="00EB4E2B"/>
    <w:rsid w:val="00EB5BAF"/>
    <w:rsid w:val="00EC11F1"/>
    <w:rsid w:val="00EC4F18"/>
    <w:rsid w:val="00EF6615"/>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59A646"/>
  <w15:docId w15:val="{BDF10240-0AC9-4D06-A890-5DD634D8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UnresolvedMention1">
    <w:name w:val="Unresolved Mention1"/>
    <w:uiPriority w:val="99"/>
    <w:semiHidden/>
    <w:unhideWhenUsed/>
    <w:rsid w:val="001A6A90"/>
    <w:rPr>
      <w:color w:val="808080"/>
      <w:shd w:val="clear" w:color="auto" w:fill="E6E6E6"/>
    </w:rPr>
  </w:style>
  <w:style w:type="character" w:styleId="CommentReference">
    <w:name w:val="annotation reference"/>
    <w:uiPriority w:val="99"/>
    <w:semiHidden/>
    <w:unhideWhenUsed/>
    <w:rsid w:val="008A76C1"/>
    <w:rPr>
      <w:sz w:val="16"/>
      <w:szCs w:val="16"/>
    </w:rPr>
  </w:style>
  <w:style w:type="paragraph" w:styleId="CommentText">
    <w:name w:val="annotation text"/>
    <w:basedOn w:val="Normal"/>
    <w:link w:val="CommentTextChar"/>
    <w:uiPriority w:val="99"/>
    <w:semiHidden/>
    <w:unhideWhenUsed/>
    <w:rsid w:val="008A76C1"/>
    <w:rPr>
      <w:sz w:val="20"/>
      <w:szCs w:val="20"/>
    </w:rPr>
  </w:style>
  <w:style w:type="character" w:customStyle="1" w:styleId="CommentTextChar">
    <w:name w:val="Comment Text Char"/>
    <w:link w:val="CommentText"/>
    <w:uiPriority w:val="99"/>
    <w:semiHidden/>
    <w:rsid w:val="008A76C1"/>
    <w:rPr>
      <w:lang w:val="en-US" w:eastAsia="en-US"/>
    </w:rPr>
  </w:style>
  <w:style w:type="paragraph" w:styleId="CommentSubject">
    <w:name w:val="annotation subject"/>
    <w:basedOn w:val="CommentText"/>
    <w:next w:val="CommentText"/>
    <w:link w:val="CommentSubjectChar"/>
    <w:uiPriority w:val="99"/>
    <w:semiHidden/>
    <w:unhideWhenUsed/>
    <w:rsid w:val="008A76C1"/>
    <w:rPr>
      <w:b/>
      <w:bCs/>
    </w:rPr>
  </w:style>
  <w:style w:type="character" w:customStyle="1" w:styleId="CommentSubjectChar">
    <w:name w:val="Comment Subject Char"/>
    <w:link w:val="CommentSubject"/>
    <w:uiPriority w:val="99"/>
    <w:semiHidden/>
    <w:rsid w:val="008A76C1"/>
    <w:rPr>
      <w:b/>
      <w:bCs/>
      <w:lang w:val="en-US" w:eastAsia="en-US"/>
    </w:rPr>
  </w:style>
  <w:style w:type="table" w:styleId="TableGrid">
    <w:name w:val="Table Grid"/>
    <w:basedOn w:val="TableNormal"/>
    <w:uiPriority w:val="59"/>
    <w:rsid w:val="0004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013508">
      <w:bodyDiv w:val="1"/>
      <w:marLeft w:val="0"/>
      <w:marRight w:val="0"/>
      <w:marTop w:val="0"/>
      <w:marBottom w:val="0"/>
      <w:divBdr>
        <w:top w:val="none" w:sz="0" w:space="0" w:color="auto"/>
        <w:left w:val="none" w:sz="0" w:space="0" w:color="auto"/>
        <w:bottom w:val="none" w:sz="0" w:space="0" w:color="auto"/>
        <w:right w:val="none" w:sz="0" w:space="0" w:color="auto"/>
      </w:divBdr>
    </w:div>
    <w:div w:id="201751537">
      <w:bodyDiv w:val="1"/>
      <w:marLeft w:val="0"/>
      <w:marRight w:val="0"/>
      <w:marTop w:val="0"/>
      <w:marBottom w:val="0"/>
      <w:divBdr>
        <w:top w:val="none" w:sz="0" w:space="0" w:color="auto"/>
        <w:left w:val="none" w:sz="0" w:space="0" w:color="auto"/>
        <w:bottom w:val="none" w:sz="0" w:space="0" w:color="auto"/>
        <w:right w:val="none" w:sz="0" w:space="0" w:color="auto"/>
      </w:divBdr>
    </w:div>
    <w:div w:id="751659701">
      <w:bodyDiv w:val="1"/>
      <w:marLeft w:val="0"/>
      <w:marRight w:val="0"/>
      <w:marTop w:val="0"/>
      <w:marBottom w:val="0"/>
      <w:divBdr>
        <w:top w:val="none" w:sz="0" w:space="0" w:color="auto"/>
        <w:left w:val="none" w:sz="0" w:space="0" w:color="auto"/>
        <w:bottom w:val="none" w:sz="0" w:space="0" w:color="auto"/>
        <w:right w:val="none" w:sz="0" w:space="0" w:color="auto"/>
      </w:divBdr>
    </w:div>
    <w:div w:id="785658193">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189754184">
      <w:bodyDiv w:val="1"/>
      <w:marLeft w:val="0"/>
      <w:marRight w:val="0"/>
      <w:marTop w:val="0"/>
      <w:marBottom w:val="0"/>
      <w:divBdr>
        <w:top w:val="none" w:sz="0" w:space="0" w:color="auto"/>
        <w:left w:val="none" w:sz="0" w:space="0" w:color="auto"/>
        <w:bottom w:val="none" w:sz="0" w:space="0" w:color="auto"/>
        <w:right w:val="none" w:sz="0" w:space="0" w:color="auto"/>
      </w:divBdr>
    </w:div>
    <w:div w:id="183595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hnjens@mail.nih.go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tiff"/><Relationship Id="rId4" Type="http://schemas.openxmlformats.org/officeDocument/2006/relationships/webSettings" Target="webSettings.xml"/><Relationship Id="rId9" Type="http://schemas.openxmlformats.org/officeDocument/2006/relationships/hyperlink" Target="http://www.ictvonline.org/subcommittees.as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1271</Words>
  <Characters>7246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8501</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2017-01-11T11:49:00Z</cp:lastPrinted>
  <dcterms:created xsi:type="dcterms:W3CDTF">2017-09-06T05:22:00Z</dcterms:created>
  <dcterms:modified xsi:type="dcterms:W3CDTF">2017-09-06T05:22:00Z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