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1B7E4" w14:textId="77777777" w:rsidR="00C67A98" w:rsidRPr="00DA5352" w:rsidRDefault="00503034"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1416E2A" wp14:editId="462BE419">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0FD87242"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7DA40BF0" w14:textId="77777777" w:rsidR="00C67A98" w:rsidRPr="00DA5352" w:rsidRDefault="00C67A98" w:rsidP="00F41198">
      <w:pPr>
        <w:ind w:left="2007"/>
        <w:rPr>
          <w:color w:val="0000FF"/>
        </w:rPr>
      </w:pPr>
    </w:p>
    <w:p w14:paraId="196AFEB6" w14:textId="77777777" w:rsidR="00C67A98" w:rsidRPr="00DA5352" w:rsidRDefault="00C67A98" w:rsidP="005A0E9E">
      <w:pPr>
        <w:pStyle w:val="BodyTextIndent"/>
        <w:ind w:left="2007" w:firstLine="0"/>
        <w:outlineLvl w:val="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38BA3DCC" w14:textId="77777777" w:rsidR="00AA1E2F" w:rsidRPr="00DA5352" w:rsidRDefault="00AA1E2F" w:rsidP="008E736E">
      <w:pPr>
        <w:pStyle w:val="BodyTextIndent"/>
        <w:ind w:left="0" w:firstLine="0"/>
        <w:rPr>
          <w:rFonts w:ascii="Arial" w:hAnsi="Arial" w:cs="Arial"/>
          <w:color w:val="0000FF"/>
          <w:sz w:val="22"/>
          <w:szCs w:val="22"/>
        </w:rPr>
      </w:pPr>
    </w:p>
    <w:p w14:paraId="5BE17EFE" w14:textId="77777777" w:rsidR="006D1B4E" w:rsidRDefault="006D1B4E" w:rsidP="006D1B4E">
      <w:pPr>
        <w:rPr>
          <w:rFonts w:ascii="Arial" w:hAnsi="Arial" w:cs="Arial"/>
          <w:sz w:val="22"/>
          <w:szCs w:val="22"/>
          <w:lang w:val="en-GB"/>
        </w:rPr>
      </w:pPr>
    </w:p>
    <w:p w14:paraId="74D1C5D7" w14:textId="77777777" w:rsidR="00AA1E2F" w:rsidRDefault="00CF3890" w:rsidP="005A0E9E">
      <w:pPr>
        <w:outlineLvl w:val="0"/>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E9FB4B4"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155F16B9" w14:textId="77777777" w:rsidTr="00C15EC4">
        <w:tc>
          <w:tcPr>
            <w:tcW w:w="3064" w:type="dxa"/>
            <w:tcBorders>
              <w:top w:val="double" w:sz="4" w:space="0" w:color="auto"/>
              <w:left w:val="double" w:sz="4" w:space="0" w:color="auto"/>
              <w:right w:val="single" w:sz="4" w:space="0" w:color="auto"/>
            </w:tcBorders>
            <w:vAlign w:val="center"/>
          </w:tcPr>
          <w:p w14:paraId="3FE430F0"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30362EF8" w14:textId="7B52693D" w:rsidR="006D1B4E" w:rsidRPr="00C61931" w:rsidRDefault="00D60339" w:rsidP="00D60339">
            <w:pPr>
              <w:pStyle w:val="BodyTextIndent"/>
              <w:ind w:left="0" w:firstLine="0"/>
              <w:rPr>
                <w:rFonts w:ascii="Times New Roman" w:hAnsi="Times New Roman"/>
                <w:b/>
                <w:i/>
                <w:sz w:val="36"/>
                <w:szCs w:val="36"/>
              </w:rPr>
            </w:pPr>
            <w:r w:rsidRPr="00D60339">
              <w:rPr>
                <w:rFonts w:ascii="Times New Roman" w:hAnsi="Times New Roman"/>
                <w:b/>
                <w:i/>
                <w:sz w:val="36"/>
                <w:szCs w:val="36"/>
              </w:rPr>
              <w:t>2017.027B</w:t>
            </w:r>
          </w:p>
        </w:tc>
        <w:tc>
          <w:tcPr>
            <w:tcW w:w="3091" w:type="dxa"/>
            <w:tcBorders>
              <w:top w:val="double" w:sz="4" w:space="0" w:color="auto"/>
              <w:left w:val="single" w:sz="4" w:space="0" w:color="auto"/>
              <w:right w:val="double" w:sz="4" w:space="0" w:color="auto"/>
            </w:tcBorders>
            <w:vAlign w:val="center"/>
          </w:tcPr>
          <w:p w14:paraId="29B4BA62"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28D4502F" w14:textId="77777777">
        <w:tc>
          <w:tcPr>
            <w:tcW w:w="9468" w:type="dxa"/>
            <w:gridSpan w:val="6"/>
            <w:tcBorders>
              <w:left w:val="double" w:sz="4" w:space="0" w:color="auto"/>
              <w:right w:val="double" w:sz="4" w:space="0" w:color="auto"/>
            </w:tcBorders>
          </w:tcPr>
          <w:p w14:paraId="7BF777DE" w14:textId="77777777" w:rsidR="006D72D9" w:rsidRPr="005A0E9E" w:rsidRDefault="006D1B4E" w:rsidP="006D72D9">
            <w:pPr>
              <w:spacing w:before="120"/>
            </w:pPr>
            <w:r>
              <w:rPr>
                <w:b/>
              </w:rPr>
              <w:t>Short title:</w:t>
            </w:r>
            <w:r w:rsidR="00AA3952">
              <w:rPr>
                <w:b/>
              </w:rPr>
              <w:t xml:space="preserve"> </w:t>
            </w:r>
            <w:r w:rsidR="006D72D9" w:rsidRPr="005A0E9E">
              <w:t xml:space="preserve">To create one (1) new genus, </w:t>
            </w:r>
            <w:r w:rsidR="006D72D9" w:rsidRPr="005A0E9E">
              <w:rPr>
                <w:i/>
              </w:rPr>
              <w:t>Pfr1virus</w:t>
            </w:r>
            <w:r w:rsidR="006D72D9" w:rsidRPr="005A0E9E">
              <w:t>, including one (1) new species in the</w:t>
            </w:r>
          </w:p>
          <w:p w14:paraId="5FBE767C" w14:textId="77777777" w:rsidR="00AA3952" w:rsidRPr="001E492D" w:rsidRDefault="006D72D9" w:rsidP="006D72D9">
            <w:pPr>
              <w:spacing w:before="120"/>
              <w:rPr>
                <w:b/>
              </w:rPr>
            </w:pPr>
            <w:r w:rsidRPr="005A0E9E">
              <w:t xml:space="preserve">family </w:t>
            </w:r>
            <w:r w:rsidRPr="005A0E9E">
              <w:rPr>
                <w:i/>
              </w:rPr>
              <w:t>Siphoviridae</w:t>
            </w:r>
            <w:r w:rsidRPr="005A0E9E">
              <w:t>.</w:t>
            </w:r>
          </w:p>
        </w:tc>
      </w:tr>
      <w:tr w:rsidR="00210B49" w:rsidRPr="001E492D" w14:paraId="27D3516A" w14:textId="77777777" w:rsidTr="00C15EC4">
        <w:tc>
          <w:tcPr>
            <w:tcW w:w="4458" w:type="dxa"/>
            <w:gridSpan w:val="2"/>
            <w:tcBorders>
              <w:left w:val="double" w:sz="4" w:space="0" w:color="auto"/>
              <w:bottom w:val="double" w:sz="4" w:space="0" w:color="auto"/>
              <w:right w:val="single" w:sz="4" w:space="0" w:color="auto"/>
            </w:tcBorders>
            <w:vAlign w:val="center"/>
          </w:tcPr>
          <w:p w14:paraId="7414EC72" w14:textId="77777777" w:rsidR="00210B49" w:rsidRDefault="00210B49" w:rsidP="009845DD">
            <w:pPr>
              <w:rPr>
                <w:b/>
              </w:rPr>
            </w:pPr>
            <w:r>
              <w:rPr>
                <w:b/>
              </w:rPr>
              <w:t xml:space="preserve">Modules attached </w:t>
            </w:r>
          </w:p>
          <w:p w14:paraId="61BFB54B"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129ADD09"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5A1E4D21"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F8296C">
              <w:rPr>
                <w:b/>
              </w:rPr>
              <w:fldChar w:fldCharType="begin">
                <w:ffData>
                  <w:name w:val=""/>
                  <w:enabled/>
                  <w:calcOnExit w:val="0"/>
                  <w:checkBox>
                    <w:size w:val="20"/>
                    <w:default w:val="1"/>
                  </w:checkBox>
                </w:ffData>
              </w:fldChar>
            </w:r>
            <w:r w:rsidR="00F8296C">
              <w:rPr>
                <w:b/>
              </w:rPr>
              <w:instrText xml:space="preserve"> FORMCHECKBOX </w:instrText>
            </w:r>
            <w:r w:rsidR="00243E2F">
              <w:rPr>
                <w:b/>
              </w:rPr>
            </w:r>
            <w:r w:rsidR="00243E2F">
              <w:rPr>
                <w:b/>
              </w:rPr>
              <w:fldChar w:fldCharType="separate"/>
            </w:r>
            <w:r w:rsidR="00F8296C">
              <w:rPr>
                <w:b/>
              </w:rPr>
              <w:fldChar w:fldCharType="end"/>
            </w:r>
            <w:r w:rsidR="00C67A98">
              <w:rPr>
                <w:b/>
              </w:rPr>
              <w:t xml:space="preserve">       </w:t>
            </w:r>
            <w:bookmarkEnd w:id="4"/>
            <w:r w:rsidR="00C67A98">
              <w:rPr>
                <w:b/>
              </w:rPr>
              <w:t xml:space="preserve"> </w:t>
            </w:r>
            <w:r w:rsidR="004B5D02">
              <w:rPr>
                <w:b/>
              </w:rPr>
              <w:t>2</w:t>
            </w:r>
            <w:r>
              <w:rPr>
                <w:b/>
              </w:rPr>
              <w:t xml:space="preserve"> </w:t>
            </w:r>
            <w:r w:rsidR="00F8296C">
              <w:rPr>
                <w:b/>
              </w:rPr>
              <w:fldChar w:fldCharType="begin">
                <w:ffData>
                  <w:name w:val=""/>
                  <w:enabled/>
                  <w:calcOnExit w:val="0"/>
                  <w:checkBox>
                    <w:size w:val="20"/>
                    <w:default w:val="1"/>
                  </w:checkBox>
                </w:ffData>
              </w:fldChar>
            </w:r>
            <w:r w:rsidR="00F8296C">
              <w:rPr>
                <w:b/>
              </w:rPr>
              <w:instrText xml:space="preserve"> FORMCHECKBOX </w:instrText>
            </w:r>
            <w:r w:rsidR="00243E2F">
              <w:rPr>
                <w:b/>
              </w:rPr>
            </w:r>
            <w:r w:rsidR="00243E2F">
              <w:rPr>
                <w:b/>
              </w:rPr>
              <w:fldChar w:fldCharType="separate"/>
            </w:r>
            <w:r w:rsidR="00F8296C">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243E2F">
              <w:rPr>
                <w:b/>
              </w:rPr>
            </w:r>
            <w:r w:rsidR="00243E2F">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F8296C">
              <w:rPr>
                <w:b/>
              </w:rPr>
              <w:fldChar w:fldCharType="begin">
                <w:ffData>
                  <w:name w:val=""/>
                  <w:enabled/>
                  <w:calcOnExit w:val="0"/>
                  <w:checkBox>
                    <w:size w:val="20"/>
                    <w:default w:val="1"/>
                  </w:checkBox>
                </w:ffData>
              </w:fldChar>
            </w:r>
            <w:r w:rsidR="00F8296C">
              <w:rPr>
                <w:b/>
              </w:rPr>
              <w:instrText xml:space="preserve"> FORMCHECKBOX </w:instrText>
            </w:r>
            <w:r w:rsidR="00243E2F">
              <w:rPr>
                <w:b/>
              </w:rPr>
            </w:r>
            <w:r w:rsidR="00243E2F">
              <w:rPr>
                <w:b/>
              </w:rPr>
              <w:fldChar w:fldCharType="separate"/>
            </w:r>
            <w:r w:rsidR="00F8296C">
              <w:rPr>
                <w:b/>
              </w:rPr>
              <w:fldChar w:fldCharType="end"/>
            </w:r>
            <w:r>
              <w:rPr>
                <w:b/>
              </w:rPr>
              <w:t xml:space="preserve">       </w:t>
            </w:r>
          </w:p>
          <w:p w14:paraId="5781C0EE" w14:textId="77777777" w:rsidR="00210B49" w:rsidRDefault="00210B49" w:rsidP="004B5D02">
            <w:pPr>
              <w:rPr>
                <w:b/>
              </w:rPr>
            </w:pPr>
            <w:r>
              <w:rPr>
                <w:b/>
              </w:rPr>
              <w:t xml:space="preserve">  </w:t>
            </w:r>
          </w:p>
        </w:tc>
      </w:tr>
      <w:tr w:rsidR="00636B14" w:rsidRPr="001E492D" w14:paraId="6CB76932" w14:textId="77777777">
        <w:tc>
          <w:tcPr>
            <w:tcW w:w="9468" w:type="dxa"/>
            <w:gridSpan w:val="6"/>
          </w:tcPr>
          <w:p w14:paraId="70E71903" w14:textId="77777777" w:rsidR="00636B14" w:rsidRPr="001E492D" w:rsidRDefault="00636B14" w:rsidP="00CE5ECF">
            <w:pPr>
              <w:spacing w:before="120" w:after="120"/>
              <w:rPr>
                <w:b/>
              </w:rPr>
            </w:pPr>
            <w:r>
              <w:rPr>
                <w:b/>
              </w:rPr>
              <w:t>Author</w:t>
            </w:r>
            <w:r w:rsidRPr="001E492D">
              <w:rPr>
                <w:b/>
              </w:rPr>
              <w:t>(s):</w:t>
            </w:r>
          </w:p>
        </w:tc>
      </w:tr>
      <w:tr w:rsidR="00636B14" w:rsidRPr="001E492D" w14:paraId="206A08B0" w14:textId="77777777">
        <w:tc>
          <w:tcPr>
            <w:tcW w:w="9468" w:type="dxa"/>
            <w:gridSpan w:val="6"/>
            <w:tcBorders>
              <w:top w:val="single" w:sz="4" w:space="0" w:color="auto"/>
              <w:left w:val="single" w:sz="4" w:space="0" w:color="auto"/>
              <w:bottom w:val="single" w:sz="4" w:space="0" w:color="auto"/>
              <w:right w:val="single" w:sz="4" w:space="0" w:color="auto"/>
            </w:tcBorders>
          </w:tcPr>
          <w:p w14:paraId="534B8C96" w14:textId="77777777" w:rsidR="006D72D9" w:rsidRPr="006D72D9" w:rsidRDefault="006D72D9" w:rsidP="006D72D9">
            <w:pPr>
              <w:pStyle w:val="BodyTextIndent"/>
              <w:rPr>
                <w:rFonts w:ascii="Times New Roman" w:hAnsi="Times New Roman"/>
                <w:color w:val="000000"/>
              </w:rPr>
            </w:pPr>
            <w:r w:rsidRPr="006D72D9">
              <w:rPr>
                <w:rFonts w:ascii="Times New Roman" w:hAnsi="Times New Roman"/>
                <w:color w:val="000000"/>
              </w:rPr>
              <w:t>Stev</w:t>
            </w:r>
            <w:r w:rsidR="00F8296C">
              <w:rPr>
                <w:rFonts w:ascii="Times New Roman" w:hAnsi="Times New Roman"/>
                <w:color w:val="000000"/>
              </w:rPr>
              <w:t>e Petrovski—La Trobe University</w:t>
            </w:r>
            <w:r w:rsidRPr="006D72D9">
              <w:rPr>
                <w:rFonts w:ascii="Times New Roman" w:hAnsi="Times New Roman"/>
                <w:color w:val="000000"/>
              </w:rPr>
              <w:t xml:space="preserve"> </w:t>
            </w:r>
            <w:r w:rsidR="00F8296C">
              <w:rPr>
                <w:rFonts w:ascii="Times New Roman" w:hAnsi="Times New Roman"/>
                <w:color w:val="000000"/>
              </w:rPr>
              <w:t>(</w:t>
            </w:r>
            <w:r w:rsidRPr="006D72D9">
              <w:rPr>
                <w:rFonts w:ascii="Times New Roman" w:hAnsi="Times New Roman"/>
                <w:color w:val="000000"/>
              </w:rPr>
              <w:t>Australia</w:t>
            </w:r>
            <w:r w:rsidR="00F8296C">
              <w:rPr>
                <w:rFonts w:ascii="Times New Roman" w:hAnsi="Times New Roman"/>
                <w:color w:val="000000"/>
              </w:rPr>
              <w:t>)</w:t>
            </w:r>
          </w:p>
          <w:p w14:paraId="145D4637" w14:textId="77777777" w:rsidR="006D72D9" w:rsidRDefault="006D72D9" w:rsidP="006D72D9">
            <w:pPr>
              <w:pStyle w:val="BodyTextIndent"/>
              <w:rPr>
                <w:rFonts w:ascii="Times New Roman" w:hAnsi="Times New Roman"/>
                <w:color w:val="000000"/>
              </w:rPr>
            </w:pPr>
            <w:r w:rsidRPr="006D72D9">
              <w:rPr>
                <w:rFonts w:ascii="Times New Roman" w:hAnsi="Times New Roman"/>
                <w:color w:val="000000"/>
              </w:rPr>
              <w:t>Andrew M. Kropinski—University of Guelph (Canada)</w:t>
            </w:r>
          </w:p>
          <w:p w14:paraId="208627D4" w14:textId="55B2A8BC" w:rsidR="005A0E9E" w:rsidRPr="006D72D9" w:rsidRDefault="005A0E9E" w:rsidP="006D72D9">
            <w:pPr>
              <w:pStyle w:val="BodyTextIndent"/>
              <w:rPr>
                <w:rFonts w:ascii="Times New Roman" w:hAnsi="Times New Roman"/>
                <w:color w:val="000000"/>
              </w:rPr>
            </w:pPr>
            <w:r>
              <w:rPr>
                <w:rFonts w:ascii="Times New Roman" w:hAnsi="Times New Roman"/>
                <w:color w:val="000000"/>
              </w:rPr>
              <w:t>Jens H. Kuhn - National Institute of Allergy and Infectious Diseases (USA)</w:t>
            </w:r>
          </w:p>
          <w:p w14:paraId="595B58C9" w14:textId="77777777" w:rsidR="00636B14" w:rsidRPr="00C61931" w:rsidRDefault="006D72D9" w:rsidP="006D72D9">
            <w:pPr>
              <w:pStyle w:val="BodyTextIndent"/>
              <w:ind w:left="0" w:firstLine="0"/>
              <w:rPr>
                <w:rFonts w:ascii="Times New Roman" w:hAnsi="Times New Roman"/>
                <w:color w:val="000000"/>
              </w:rPr>
            </w:pPr>
            <w:r w:rsidRPr="006D72D9">
              <w:rPr>
                <w:rFonts w:ascii="Times New Roman" w:hAnsi="Times New Roman"/>
                <w:color w:val="000000"/>
              </w:rPr>
              <w:t>Evelien M. Adriaenssens—University of Liverpool (UK)</w:t>
            </w:r>
          </w:p>
        </w:tc>
      </w:tr>
      <w:tr w:rsidR="00CE5ECF" w:rsidRPr="001E492D" w14:paraId="7B709ED6" w14:textId="77777777" w:rsidTr="003B1954">
        <w:tc>
          <w:tcPr>
            <w:tcW w:w="9468" w:type="dxa"/>
            <w:gridSpan w:val="6"/>
          </w:tcPr>
          <w:p w14:paraId="1EDC1078"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1C05FDCD"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2A8A7061" w14:textId="77777777" w:rsidR="00CE5ECF" w:rsidRPr="00C61931" w:rsidRDefault="006D72D9" w:rsidP="003B1954">
            <w:pPr>
              <w:pStyle w:val="BodyTextIndent"/>
              <w:ind w:left="0" w:firstLine="0"/>
              <w:rPr>
                <w:rFonts w:ascii="Times New Roman" w:hAnsi="Times New Roman"/>
                <w:color w:val="000000"/>
              </w:rPr>
            </w:pPr>
            <w:r w:rsidRPr="00E876E6">
              <w:t>Andrew M. Kropinski Phage.Canada@gmail.com</w:t>
            </w:r>
          </w:p>
        </w:tc>
      </w:tr>
      <w:tr w:rsidR="00D1634C" w14:paraId="1C7DD2A2" w14:textId="77777777">
        <w:tc>
          <w:tcPr>
            <w:tcW w:w="9468" w:type="dxa"/>
            <w:gridSpan w:val="6"/>
          </w:tcPr>
          <w:p w14:paraId="2CE65CAB"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F241516"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22064168"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6508013B" w14:textId="42002165" w:rsidR="00D1634C" w:rsidRPr="00986F6A" w:rsidRDefault="005A0E9E" w:rsidP="00C15EC4">
            <w:pPr>
              <w:jc w:val="both"/>
              <w:rPr>
                <w:b/>
              </w:rPr>
            </w:pPr>
            <w:r>
              <w:rPr>
                <w:b/>
              </w:rPr>
              <w:t xml:space="preserve">ICTV </w:t>
            </w:r>
            <w:r w:rsidR="006D72D9">
              <w:rPr>
                <w:b/>
              </w:rPr>
              <w:t>Bacterial and Archaeal Viruses Subcommittee</w:t>
            </w:r>
          </w:p>
        </w:tc>
      </w:tr>
      <w:tr w:rsidR="00AA3952" w:rsidRPr="001E492D" w14:paraId="7EEF13F5" w14:textId="77777777">
        <w:trPr>
          <w:tblHeader/>
        </w:trPr>
        <w:tc>
          <w:tcPr>
            <w:tcW w:w="9468" w:type="dxa"/>
            <w:gridSpan w:val="6"/>
          </w:tcPr>
          <w:p w14:paraId="2649F956"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33B51851" w14:textId="77777777">
        <w:trPr>
          <w:trHeight w:val="270"/>
        </w:trPr>
        <w:tc>
          <w:tcPr>
            <w:tcW w:w="9468" w:type="dxa"/>
            <w:gridSpan w:val="6"/>
            <w:tcBorders>
              <w:top w:val="single" w:sz="4" w:space="0" w:color="auto"/>
              <w:bottom w:val="single" w:sz="4" w:space="0" w:color="auto"/>
            </w:tcBorders>
          </w:tcPr>
          <w:p w14:paraId="34DD954A"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5B507281" w14:textId="77777777">
        <w:trPr>
          <w:trHeight w:val="270"/>
        </w:trPr>
        <w:tc>
          <w:tcPr>
            <w:tcW w:w="9468" w:type="dxa"/>
            <w:gridSpan w:val="6"/>
            <w:tcBorders>
              <w:top w:val="single" w:sz="4" w:space="0" w:color="auto"/>
            </w:tcBorders>
          </w:tcPr>
          <w:p w14:paraId="4572AC80" w14:textId="77777777" w:rsidR="00422FF0" w:rsidRDefault="00422FF0" w:rsidP="00291213">
            <w:pPr>
              <w:pStyle w:val="BodyTextIndent"/>
              <w:ind w:left="0" w:firstLine="0"/>
              <w:rPr>
                <w:rFonts w:ascii="Times New Roman" w:hAnsi="Times New Roman"/>
                <w:color w:val="000000"/>
              </w:rPr>
            </w:pPr>
          </w:p>
        </w:tc>
      </w:tr>
      <w:tr w:rsidR="00422FF0" w:rsidRPr="001E492D" w14:paraId="1CE6390B" w14:textId="77777777" w:rsidTr="00C15EC4">
        <w:trPr>
          <w:trHeight w:val="270"/>
        </w:trPr>
        <w:tc>
          <w:tcPr>
            <w:tcW w:w="5786" w:type="dxa"/>
            <w:gridSpan w:val="4"/>
          </w:tcPr>
          <w:p w14:paraId="3845AE0F"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64333E34" w14:textId="4D68241A" w:rsidR="005A0E9E" w:rsidRDefault="005A0E9E"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2A1EFFFC" w14:textId="77777777" w:rsidTr="00C15EC4">
        <w:trPr>
          <w:trHeight w:val="270"/>
        </w:trPr>
        <w:tc>
          <w:tcPr>
            <w:tcW w:w="5786" w:type="dxa"/>
            <w:gridSpan w:val="4"/>
            <w:tcBorders>
              <w:bottom w:val="single" w:sz="4" w:space="0" w:color="auto"/>
            </w:tcBorders>
          </w:tcPr>
          <w:p w14:paraId="472720E7" w14:textId="45AE5E65"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432629D1"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024F1DD9"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0CA78204" w14:textId="77777777" w:rsidTr="003B1954">
        <w:tc>
          <w:tcPr>
            <w:tcW w:w="9468" w:type="dxa"/>
          </w:tcPr>
          <w:p w14:paraId="3038C342"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7F9E57B5" w14:textId="77777777" w:rsidTr="003B1954">
        <w:tc>
          <w:tcPr>
            <w:tcW w:w="9468" w:type="dxa"/>
            <w:tcBorders>
              <w:top w:val="single" w:sz="4" w:space="0" w:color="auto"/>
              <w:left w:val="single" w:sz="4" w:space="0" w:color="auto"/>
              <w:bottom w:val="single" w:sz="4" w:space="0" w:color="auto"/>
              <w:right w:val="single" w:sz="4" w:space="0" w:color="auto"/>
            </w:tcBorders>
          </w:tcPr>
          <w:p w14:paraId="11337F11"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897C538" w14:textId="77777777" w:rsidR="00991A82" w:rsidRDefault="00991A82" w:rsidP="009E036E">
      <w:pPr>
        <w:pStyle w:val="BodyTextIndent"/>
        <w:ind w:left="0" w:firstLine="0"/>
        <w:rPr>
          <w:rFonts w:ascii="Times New Roman" w:hAnsi="Times New Roman"/>
          <w:color w:val="000000"/>
          <w:sz w:val="22"/>
          <w:szCs w:val="22"/>
        </w:rPr>
      </w:pPr>
    </w:p>
    <w:p w14:paraId="7175E8F5" w14:textId="77777777" w:rsidR="004B5D02" w:rsidRDefault="004B5D02" w:rsidP="009E036E">
      <w:pPr>
        <w:pStyle w:val="BodyTextIndent"/>
        <w:ind w:left="0" w:firstLine="0"/>
        <w:rPr>
          <w:rFonts w:ascii="Times New Roman" w:hAnsi="Times New Roman"/>
          <w:color w:val="000000"/>
          <w:sz w:val="22"/>
          <w:szCs w:val="22"/>
        </w:rPr>
      </w:pPr>
    </w:p>
    <w:p w14:paraId="5376E355" w14:textId="77777777" w:rsidR="004B5D02" w:rsidRPr="006C4A0C" w:rsidRDefault="00CF3890" w:rsidP="005A0E9E">
      <w:pPr>
        <w:outlineLvl w:val="0"/>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6BE90F07" w14:textId="77777777" w:rsidTr="007D5A73">
        <w:tc>
          <w:tcPr>
            <w:tcW w:w="9468" w:type="dxa"/>
            <w:tcBorders>
              <w:top w:val="nil"/>
              <w:left w:val="nil"/>
              <w:right w:val="nil"/>
            </w:tcBorders>
            <w:vAlign w:val="center"/>
          </w:tcPr>
          <w:p w14:paraId="12FC161D"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7FDC56FA"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66F27E18" w14:textId="2C4EB58B" w:rsidR="007D6DB6" w:rsidRPr="001E492D" w:rsidRDefault="007D6DB6" w:rsidP="00A5210B">
            <w:pPr>
              <w:spacing w:before="120"/>
              <w:rPr>
                <w:b/>
              </w:rPr>
            </w:pPr>
            <w:r>
              <w:rPr>
                <w:b/>
              </w:rPr>
              <w:t>Name of accompanying spreadsheet:</w:t>
            </w:r>
            <w:r w:rsidR="00D45B36">
              <w:rPr>
                <w:b/>
              </w:rPr>
              <w:t xml:space="preserve"> </w:t>
            </w:r>
            <w:r w:rsidR="00D60339" w:rsidRPr="00D60339">
              <w:rPr>
                <w:b/>
              </w:rPr>
              <w:t>2017.027B.N.v1.Pfr1virus</w:t>
            </w:r>
            <w:bookmarkStart w:id="5" w:name="_GoBack"/>
            <w:bookmarkEnd w:id="5"/>
          </w:p>
        </w:tc>
      </w:tr>
    </w:tbl>
    <w:p w14:paraId="2C823DC7" w14:textId="77777777" w:rsidR="00534EED" w:rsidRDefault="00534EED" w:rsidP="00603CFD">
      <w:pPr>
        <w:pStyle w:val="BodyTextIndent"/>
        <w:ind w:left="0" w:firstLine="0"/>
        <w:rPr>
          <w:rFonts w:ascii="Arial" w:hAnsi="Arial" w:cs="Arial"/>
          <w:color w:val="000000"/>
          <w:sz w:val="20"/>
        </w:rPr>
      </w:pPr>
    </w:p>
    <w:p w14:paraId="2F3DEA5D" w14:textId="77777777" w:rsidR="005A0E9E" w:rsidRDefault="005A0E9E" w:rsidP="00603CFD">
      <w:pPr>
        <w:pStyle w:val="BodyTextIndent"/>
        <w:ind w:left="0" w:firstLine="0"/>
        <w:rPr>
          <w:rFonts w:ascii="Arial" w:hAnsi="Arial" w:cs="Arial"/>
          <w:color w:val="000000"/>
          <w:sz w:val="20"/>
        </w:rPr>
      </w:pPr>
    </w:p>
    <w:p w14:paraId="1B88C3E7" w14:textId="77777777" w:rsidR="00AC0E72" w:rsidRDefault="006B2EE7" w:rsidP="005A0E9E">
      <w:pPr>
        <w:pStyle w:val="BodyTextIndent"/>
        <w:ind w:left="0" w:firstLine="0"/>
        <w:outlineLvl w:val="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423" w:type="dxa"/>
        <w:tblInd w:w="-108" w:type="dxa"/>
        <w:tblLook w:val="04A0" w:firstRow="1" w:lastRow="0" w:firstColumn="1" w:lastColumn="0" w:noHBand="0" w:noVBand="1"/>
      </w:tblPr>
      <w:tblGrid>
        <w:gridCol w:w="108"/>
        <w:gridCol w:w="9228"/>
        <w:gridCol w:w="87"/>
      </w:tblGrid>
      <w:tr w:rsidR="008071B6" w:rsidRPr="001E492D" w14:paraId="14B8DBB8" w14:textId="77777777" w:rsidTr="00CC177C">
        <w:trPr>
          <w:gridBefore w:val="1"/>
          <w:gridAfter w:val="1"/>
          <w:wBefore w:w="108" w:type="dxa"/>
          <w:wAfter w:w="87" w:type="dxa"/>
          <w:tblHeader/>
        </w:trPr>
        <w:tc>
          <w:tcPr>
            <w:tcW w:w="9228" w:type="dxa"/>
          </w:tcPr>
          <w:p w14:paraId="68D028C4"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3A97AF89" w14:textId="77777777" w:rsidTr="00CC177C">
        <w:trPr>
          <w:gridBefore w:val="1"/>
          <w:gridAfter w:val="1"/>
          <w:wBefore w:w="108" w:type="dxa"/>
          <w:wAfter w:w="87" w:type="dxa"/>
          <w:trHeight w:val="1566"/>
        </w:trPr>
        <w:tc>
          <w:tcPr>
            <w:tcW w:w="9228" w:type="dxa"/>
          </w:tcPr>
          <w:p w14:paraId="12D1E6A2"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19897E97"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4ACA2100"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4760D50A" w14:textId="77777777" w:rsidR="00C46C65" w:rsidRDefault="001E7FD5" w:rsidP="00CB3A13">
            <w:pPr>
              <w:pStyle w:val="BodyTextIndent"/>
              <w:numPr>
                <w:ilvl w:val="0"/>
                <w:numId w:val="24"/>
              </w:numPr>
              <w:ind w:left="567" w:hanging="283"/>
              <w:rPr>
                <w:rFonts w:ascii="Arial" w:hAnsi="Arial" w:cs="Arial"/>
                <w:color w:val="0000FF"/>
                <w:sz w:val="20"/>
              </w:rPr>
            </w:pPr>
            <w:r>
              <w:rPr>
                <w:rFonts w:ascii="Arial" w:hAnsi="Arial" w:cs="Arial"/>
                <w:color w:val="0000FF"/>
                <w:sz w:val="20"/>
              </w:rPr>
              <w:t>Higher taxa</w:t>
            </w:r>
            <w:r w:rsidR="00F657DF" w:rsidRPr="00F657DF">
              <w:rPr>
                <w:rFonts w:ascii="Arial" w:hAnsi="Arial" w:cs="Arial"/>
                <w:color w:val="0000FF"/>
                <w:sz w:val="20"/>
              </w:rPr>
              <w:t xml:space="preserve">: </w:t>
            </w:r>
          </w:p>
          <w:p w14:paraId="68D9CAE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0649094F"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3AF6E0EF"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C20045F"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Pr>
                <w:rFonts w:ascii="Arial" w:hAnsi="Arial" w:cs="Arial"/>
                <w:color w:val="0000FF"/>
                <w:sz w:val="20"/>
              </w:rPr>
              <w:t xml:space="preserve">Supporting evidence: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6354784B" w14:textId="77777777" w:rsidR="001E59C1" w:rsidRPr="00B91D87" w:rsidRDefault="001E59C1" w:rsidP="00724490">
            <w:pPr>
              <w:rPr>
                <w:rFonts w:ascii="Arial" w:hAnsi="Arial" w:cs="Arial"/>
                <w:color w:val="0000FF"/>
                <w:sz w:val="20"/>
              </w:rPr>
            </w:pPr>
          </w:p>
        </w:tc>
      </w:tr>
      <w:tr w:rsidR="006D72D9" w:rsidRPr="001E492D" w14:paraId="66D8B83F" w14:textId="77777777" w:rsidTr="00CC177C">
        <w:trPr>
          <w:tblHeader/>
        </w:trPr>
        <w:tc>
          <w:tcPr>
            <w:tcW w:w="9423" w:type="dxa"/>
            <w:gridSpan w:val="3"/>
          </w:tcPr>
          <w:p w14:paraId="6835EFE3" w14:textId="77777777" w:rsidR="006D72D9" w:rsidRDefault="006D72D9" w:rsidP="0017169A">
            <w:pPr>
              <w:spacing w:after="120"/>
              <w:rPr>
                <w:b/>
              </w:rPr>
            </w:pPr>
            <w:r>
              <w:rPr>
                <w:b/>
              </w:rPr>
              <w:t>References</w:t>
            </w:r>
            <w:r w:rsidRPr="001E492D">
              <w:rPr>
                <w:b/>
              </w:rPr>
              <w:t>:</w:t>
            </w:r>
          </w:p>
          <w:p w14:paraId="7840BE7D" w14:textId="77777777" w:rsidR="006D72D9" w:rsidRPr="001E492D" w:rsidRDefault="006D72D9" w:rsidP="0017169A">
            <w:pPr>
              <w:spacing w:after="120"/>
              <w:rPr>
                <w:b/>
              </w:rPr>
            </w:pPr>
          </w:p>
        </w:tc>
      </w:tr>
      <w:tr w:rsidR="006D72D9" w:rsidRPr="00366263" w14:paraId="205FBE3C" w14:textId="77777777" w:rsidTr="00CC177C">
        <w:tc>
          <w:tcPr>
            <w:tcW w:w="9423" w:type="dxa"/>
            <w:gridSpan w:val="3"/>
            <w:tcBorders>
              <w:top w:val="single" w:sz="8" w:space="0" w:color="auto"/>
              <w:left w:val="single" w:sz="8" w:space="0" w:color="auto"/>
              <w:bottom w:val="single" w:sz="8" w:space="0" w:color="auto"/>
              <w:right w:val="single" w:sz="8" w:space="0" w:color="auto"/>
            </w:tcBorders>
          </w:tcPr>
          <w:p w14:paraId="23212606" w14:textId="77777777" w:rsidR="006D72D9" w:rsidRPr="00E741B3" w:rsidRDefault="006D72D9" w:rsidP="0017169A">
            <w:pPr>
              <w:pStyle w:val="BodyTextIndent"/>
              <w:ind w:left="567" w:hanging="567"/>
              <w:jc w:val="both"/>
              <w:rPr>
                <w:b/>
              </w:rPr>
            </w:pPr>
            <w:r>
              <w:t xml:space="preserve">        </w:t>
            </w:r>
            <w:r w:rsidRPr="00E741B3">
              <w:rPr>
                <w:b/>
              </w:rPr>
              <w:t xml:space="preserve">  A. General - </w:t>
            </w:r>
          </w:p>
          <w:p w14:paraId="49BC858D" w14:textId="77777777" w:rsidR="006D72D9" w:rsidRDefault="006D72D9" w:rsidP="0017169A">
            <w:pPr>
              <w:pStyle w:val="BodyTextIndent"/>
              <w:ind w:left="567" w:hanging="567"/>
              <w:jc w:val="both"/>
            </w:pPr>
            <w:r>
              <w:t>1. Darling AE, Mau B, Perna NT. progressiveMauve: multiple genome alignment with gene gain, loss and rearrangement. PLoS One. 2010; 5(6):e11147.</w:t>
            </w:r>
          </w:p>
          <w:p w14:paraId="605C561A" w14:textId="77777777" w:rsidR="006D72D9" w:rsidRDefault="006D72D9" w:rsidP="0017169A">
            <w:pPr>
              <w:pStyle w:val="BodyTextIndent"/>
              <w:ind w:left="567" w:hanging="567"/>
              <w:jc w:val="both"/>
            </w:pPr>
            <w:r>
              <w:t>2. Turner D, Reynolds D, Seto D, Mahadevan P. CoreGenes3.5: a webserver for the determination of core genes from sets of viral and small bacterial genomes. BMC Res Notes. 2013; 6:140. doi: 10.1186/1756-0500-6-140.</w:t>
            </w:r>
          </w:p>
          <w:p w14:paraId="51600227" w14:textId="77777777" w:rsidR="006D72D9" w:rsidRDefault="006D72D9" w:rsidP="0017169A">
            <w:pPr>
              <w:pStyle w:val="BodyTextIndent"/>
              <w:ind w:left="567" w:hanging="567"/>
              <w:jc w:val="both"/>
            </w:pPr>
            <w:r>
              <w:t>3. Dereeper A, Guignon V, Blanc G, Audic S, Buffet S, Chevenet F, Dufayard JF, Guindon S, Lefort V, Lescot M, Claverie JM, Gascuel O. Phylogeny.fr: robust phylogenetic analysis for the non-specialist. Nucleic Acids Res. 2008; 36(Web Server issue):W465-9.</w:t>
            </w:r>
          </w:p>
          <w:p w14:paraId="6B3F82C8" w14:textId="77777777" w:rsidR="006D72D9" w:rsidRDefault="006D72D9" w:rsidP="0017169A">
            <w:pPr>
              <w:pStyle w:val="BodyTextIndent"/>
              <w:ind w:left="567" w:hanging="567"/>
              <w:jc w:val="both"/>
            </w:pPr>
            <w:r>
              <w:t>4. Agren J, Sundström A, Håfström T, Segerman B. Gegenees: fragmented alignment of multiple genomes for determining phylogenomic distances and genetic signatures unique for specified target groups. PLoS One. 2012;7(6):e39107.</w:t>
            </w:r>
          </w:p>
          <w:p w14:paraId="7E893314" w14:textId="77777777" w:rsidR="006D72D9" w:rsidRDefault="006D72D9" w:rsidP="0017169A">
            <w:pPr>
              <w:pStyle w:val="BodyTextIndent"/>
              <w:ind w:left="567" w:hanging="567"/>
              <w:jc w:val="both"/>
            </w:pPr>
          </w:p>
          <w:p w14:paraId="7079935A" w14:textId="77777777" w:rsidR="006D72D9" w:rsidRPr="00E741B3" w:rsidRDefault="006D72D9" w:rsidP="0017169A">
            <w:pPr>
              <w:pStyle w:val="BodyTextIndent"/>
              <w:ind w:left="567" w:hanging="567"/>
              <w:jc w:val="both"/>
              <w:rPr>
                <w:b/>
              </w:rPr>
            </w:pPr>
            <w:r>
              <w:t xml:space="preserve">          </w:t>
            </w:r>
            <w:r w:rsidRPr="00E741B3">
              <w:rPr>
                <w:b/>
              </w:rPr>
              <w:t>B. This TaxoProp Specifically</w:t>
            </w:r>
          </w:p>
          <w:p w14:paraId="0316E51A" w14:textId="77777777" w:rsidR="006D72D9" w:rsidRPr="00366263" w:rsidRDefault="006D72D9" w:rsidP="00CC177C">
            <w:pPr>
              <w:pStyle w:val="BodyTextIndent"/>
              <w:ind w:left="567" w:hanging="567"/>
              <w:jc w:val="both"/>
            </w:pPr>
            <w:r>
              <w:t>5. Brown TL, Tucci J, Dyson ZA, Lock P, Adda CG, Petrovski S. Dynamic interactions between prophages induce lysis in Propionibacterium acnes. Res Microbiol. 2016 Sep 14. pii: S0923-2508(16)30112-7.</w:t>
            </w:r>
          </w:p>
        </w:tc>
      </w:tr>
    </w:tbl>
    <w:p w14:paraId="1411C896" w14:textId="77777777" w:rsidR="00991A82" w:rsidRDefault="00991A82" w:rsidP="00AC0E72">
      <w:pPr>
        <w:rPr>
          <w:lang w:val="en-GB"/>
        </w:rPr>
        <w:sectPr w:rsidR="00991A82" w:rsidSect="00991A82">
          <w:footerReference w:type="default" r:id="rId10"/>
          <w:pgSz w:w="11909" w:h="16834" w:code="9"/>
          <w:pgMar w:top="1296" w:right="1008" w:bottom="1440" w:left="1440" w:header="706" w:footer="706" w:gutter="0"/>
          <w:cols w:space="708"/>
          <w:docGrid w:linePitch="360"/>
        </w:sectPr>
      </w:pPr>
    </w:p>
    <w:p w14:paraId="0948E33C" w14:textId="77777777" w:rsidR="005F7C97" w:rsidRPr="005F7C97" w:rsidRDefault="005F7C97" w:rsidP="005F7C97">
      <w:pPr>
        <w:jc w:val="both"/>
      </w:pPr>
      <w:r w:rsidRPr="005F7C97">
        <w:rPr>
          <w:b/>
        </w:rPr>
        <w:t>Species demarcation:</w:t>
      </w:r>
      <w:r w:rsidRPr="005F7C97">
        <w:t xml:space="preserve"> We have chosen 95% DNA sequence identity as the criterion for demarcation of species in this new genus. The members of each of the proposed species differ from those of other species by more than 5% at the DNA level as confirmed with the BLASTN algorithm.</w:t>
      </w:r>
    </w:p>
    <w:p w14:paraId="4C4225E0" w14:textId="77777777" w:rsidR="005F7C97" w:rsidRPr="005F7C97" w:rsidRDefault="005F7C97" w:rsidP="005F7C97">
      <w:pPr>
        <w:jc w:val="both"/>
      </w:pPr>
    </w:p>
    <w:p w14:paraId="20B3DB3E" w14:textId="70F629D0" w:rsidR="005F7C97" w:rsidRPr="005F7C97" w:rsidRDefault="005F7C97" w:rsidP="005F7C97">
      <w:pPr>
        <w:jc w:val="both"/>
        <w:rPr>
          <w:rFonts w:eastAsia="Times"/>
          <w:lang w:eastAsia="en-GB"/>
        </w:rPr>
      </w:pPr>
      <w:r w:rsidRPr="005F7C97">
        <w:rPr>
          <w:rFonts w:eastAsia="Times"/>
          <w:b/>
          <w:color w:val="000000"/>
          <w:lang w:eastAsia="en-GB"/>
        </w:rPr>
        <w:t>Genus demarcation:</w:t>
      </w:r>
      <w:r w:rsidRPr="005F7C97">
        <w:rPr>
          <w:rFonts w:eastAsia="Times"/>
          <w:color w:val="000000"/>
          <w:lang w:eastAsia="en-GB"/>
        </w:rPr>
        <w:t xml:space="preserve"> BLASTN (</w:t>
      </w:r>
      <w:r w:rsidR="003B6A95">
        <w:rPr>
          <w:rFonts w:eastAsia="Times"/>
          <w:color w:val="000000"/>
          <w:lang w:eastAsia="en-GB"/>
        </w:rPr>
        <w:t>Table 1</w:t>
      </w:r>
      <w:r w:rsidR="009B3F49">
        <w:rPr>
          <w:rFonts w:eastAsia="Times"/>
          <w:color w:val="000000"/>
          <w:lang w:eastAsia="en-GB"/>
        </w:rPr>
        <w:t>)</w:t>
      </w:r>
      <w:r w:rsidRPr="005F7C97">
        <w:rPr>
          <w:rFonts w:eastAsia="Times"/>
          <w:color w:val="000000"/>
          <w:lang w:eastAsia="en-GB"/>
        </w:rPr>
        <w:t xml:space="preserve"> and phylogenetic analyses (Fig. </w:t>
      </w:r>
      <w:r w:rsidR="003B6A95">
        <w:rPr>
          <w:rFonts w:eastAsia="Times"/>
          <w:color w:val="000000"/>
          <w:lang w:eastAsia="en-GB"/>
        </w:rPr>
        <w:t>2</w:t>
      </w:r>
      <w:r w:rsidRPr="005F7C97">
        <w:rPr>
          <w:rFonts w:eastAsia="Times"/>
          <w:color w:val="000000"/>
          <w:lang w:eastAsia="en-GB"/>
        </w:rPr>
        <w:t xml:space="preserve">) [3] indicate that the proposed genus, </w:t>
      </w:r>
      <w:r w:rsidR="0097618F">
        <w:rPr>
          <w:rFonts w:eastAsia="Times"/>
          <w:i/>
          <w:color w:val="000000"/>
          <w:lang w:eastAsia="en-GB"/>
        </w:rPr>
        <w:t>Pfr1</w:t>
      </w:r>
      <w:r w:rsidRPr="005F7C97">
        <w:rPr>
          <w:rFonts w:eastAsia="Times"/>
          <w:i/>
          <w:color w:val="000000"/>
          <w:lang w:eastAsia="en-GB"/>
        </w:rPr>
        <w:t>virus</w:t>
      </w:r>
      <w:r w:rsidRPr="005F7C97">
        <w:rPr>
          <w:rFonts w:eastAsia="Times"/>
          <w:color w:val="000000"/>
          <w:lang w:eastAsia="en-GB"/>
        </w:rPr>
        <w:t xml:space="preserve">, is cohesive and distinct from other genera. </w:t>
      </w:r>
      <w:r w:rsidRPr="005F7C97">
        <w:rPr>
          <w:rFonts w:eastAsia="Times"/>
          <w:lang w:eastAsia="en-GB"/>
        </w:rPr>
        <w:t>On average</w:t>
      </w:r>
      <w:r w:rsidR="005A0E9E">
        <w:rPr>
          <w:rFonts w:eastAsia="Times"/>
          <w:lang w:eastAsia="en-GB"/>
        </w:rPr>
        <w:t>,</w:t>
      </w:r>
      <w:r w:rsidRPr="005F7C97">
        <w:rPr>
          <w:rFonts w:eastAsia="Times"/>
          <w:lang w:eastAsia="en-GB"/>
        </w:rPr>
        <w:t xml:space="preserve"> the genomes of members of this genus are </w:t>
      </w:r>
      <w:r w:rsidR="0097618F">
        <w:rPr>
          <w:rFonts w:eastAsia="Times"/>
          <w:lang w:eastAsia="en-GB"/>
        </w:rPr>
        <w:t>38.1</w:t>
      </w:r>
      <w:r w:rsidRPr="005F7C97">
        <w:rPr>
          <w:rFonts w:eastAsia="Times"/>
          <w:lang w:eastAsia="en-GB"/>
        </w:rPr>
        <w:t xml:space="preserve"> kb</w:t>
      </w:r>
      <w:r w:rsidR="005A0E9E">
        <w:rPr>
          <w:rFonts w:eastAsia="Times"/>
          <w:lang w:eastAsia="en-GB"/>
        </w:rPr>
        <w:t xml:space="preserve"> in length</w:t>
      </w:r>
      <w:r w:rsidRPr="005F7C97">
        <w:rPr>
          <w:rFonts w:eastAsia="Times"/>
          <w:lang w:eastAsia="en-GB"/>
        </w:rPr>
        <w:t xml:space="preserve"> (</w:t>
      </w:r>
      <w:r w:rsidR="0097618F">
        <w:rPr>
          <w:rFonts w:eastAsia="Times"/>
          <w:lang w:eastAsia="en-GB"/>
        </w:rPr>
        <w:t>64.8</w:t>
      </w:r>
      <w:r w:rsidRPr="005F7C97">
        <w:rPr>
          <w:rFonts w:eastAsia="Times"/>
          <w:lang w:eastAsia="en-GB"/>
        </w:rPr>
        <w:t xml:space="preserve"> mol% G+C) and encode </w:t>
      </w:r>
      <w:r w:rsidR="0097618F">
        <w:rPr>
          <w:rFonts w:eastAsia="Times"/>
          <w:lang w:eastAsia="en-GB"/>
        </w:rPr>
        <w:t>56</w:t>
      </w:r>
      <w:r w:rsidRPr="005F7C97">
        <w:rPr>
          <w:rFonts w:eastAsia="Times"/>
          <w:lang w:eastAsia="en-GB"/>
        </w:rPr>
        <w:t xml:space="preserve"> proteins and </w:t>
      </w:r>
      <w:r w:rsidR="0097618F">
        <w:rPr>
          <w:rFonts w:eastAsia="Times"/>
          <w:lang w:eastAsia="en-GB"/>
        </w:rPr>
        <w:t>0</w:t>
      </w:r>
      <w:r w:rsidRPr="005F7C97">
        <w:rPr>
          <w:rFonts w:eastAsia="Times"/>
          <w:lang w:eastAsia="en-GB"/>
        </w:rPr>
        <w:t xml:space="preserve"> tRNAs. </w:t>
      </w:r>
    </w:p>
    <w:p w14:paraId="2EEE9D56" w14:textId="77777777" w:rsidR="005F7C97" w:rsidRPr="005F7C97" w:rsidRDefault="005F7C97" w:rsidP="005F7C97">
      <w:pPr>
        <w:rPr>
          <w:rFonts w:eastAsia="Times"/>
          <w:lang w:eastAsia="en-GB"/>
        </w:rPr>
      </w:pPr>
    </w:p>
    <w:p w14:paraId="1316AE7B" w14:textId="6377EA2D" w:rsidR="005F7C97" w:rsidRDefault="005F7C97" w:rsidP="0097618F">
      <w:pPr>
        <w:jc w:val="both"/>
        <w:rPr>
          <w:rFonts w:eastAsia="Times"/>
          <w:lang w:eastAsia="en-GB"/>
        </w:rPr>
      </w:pPr>
      <w:r w:rsidRPr="005F7C97">
        <w:rPr>
          <w:rFonts w:eastAsia="Times"/>
          <w:lang w:eastAsia="en-GB"/>
        </w:rPr>
        <w:t xml:space="preserve">Some significant features of these phages are </w:t>
      </w:r>
      <w:r w:rsidR="0097618F">
        <w:rPr>
          <w:rFonts w:eastAsia="Times"/>
          <w:lang w:eastAsia="en-GB"/>
        </w:rPr>
        <w:t xml:space="preserve">that </w:t>
      </w:r>
      <w:r w:rsidR="0097618F" w:rsidRPr="0097618F">
        <w:rPr>
          <w:rFonts w:eastAsia="Times"/>
          <w:lang w:eastAsia="en-GB"/>
        </w:rPr>
        <w:t>Propionibacterium phages PFR1 and PFR2 are temperate viruses isolated in Australia from lysogens of Propionibacterium freudenreichii [5].  PFR1 produces plaques on P. acnes. EM (Fig. 1) reveals that</w:t>
      </w:r>
      <w:r w:rsidR="005A0E9E">
        <w:rPr>
          <w:rFonts w:eastAsia="Times"/>
          <w:lang w:eastAsia="en-GB"/>
        </w:rPr>
        <w:t xml:space="preserve"> Propionibacterium phage</w:t>
      </w:r>
      <w:r w:rsidR="0097618F" w:rsidRPr="0097618F">
        <w:rPr>
          <w:rFonts w:eastAsia="Times"/>
          <w:lang w:eastAsia="en-GB"/>
        </w:rPr>
        <w:t xml:space="preserve"> PFR1</w:t>
      </w:r>
      <w:r w:rsidR="005A0E9E">
        <w:rPr>
          <w:rFonts w:eastAsia="Times"/>
          <w:lang w:eastAsia="en-GB"/>
        </w:rPr>
        <w:t xml:space="preserve"> </w:t>
      </w:r>
      <w:r w:rsidR="005A0E9E">
        <w:rPr>
          <w:rFonts w:eastAsia="Times"/>
          <w:lang w:eastAsia="en-GB"/>
        </w:rPr>
        <w:lastRenderedPageBreak/>
        <w:t>particles</w:t>
      </w:r>
      <w:r w:rsidR="0097618F" w:rsidRPr="0097618F">
        <w:rPr>
          <w:rFonts w:eastAsia="Times"/>
          <w:lang w:eastAsia="en-GB"/>
        </w:rPr>
        <w:t xml:space="preserve"> possess non-contractile tails 180 nm in length and isometric capsids 60 nm in diameter. The nearest relative, based upon DNA sequence identity</w:t>
      </w:r>
      <w:r w:rsidR="005A0E9E">
        <w:rPr>
          <w:rFonts w:eastAsia="Times"/>
          <w:lang w:eastAsia="en-GB"/>
        </w:rPr>
        <w:t>,</w:t>
      </w:r>
      <w:r w:rsidR="0097618F" w:rsidRPr="0097618F">
        <w:rPr>
          <w:rFonts w:eastAsia="Times"/>
          <w:lang w:eastAsia="en-GB"/>
        </w:rPr>
        <w:t xml:space="preserve"> is Propionibacterium phage G4.</w:t>
      </w:r>
    </w:p>
    <w:p w14:paraId="68306E09" w14:textId="77777777" w:rsidR="0097618F" w:rsidRPr="005F7C97" w:rsidRDefault="0097618F" w:rsidP="005F7C97">
      <w:pPr>
        <w:rPr>
          <w:rFonts w:eastAsia="Times"/>
          <w:lang w:eastAsia="en-GB"/>
        </w:rPr>
      </w:pPr>
    </w:p>
    <w:p w14:paraId="24FA48CE" w14:textId="1542A038" w:rsidR="005F7C97" w:rsidRPr="005F7C97" w:rsidRDefault="005F7C97" w:rsidP="005F7C97">
      <w:r w:rsidRPr="005F7C97">
        <w:rPr>
          <w:color w:val="000000"/>
        </w:rPr>
        <w:t xml:space="preserve">The type species </w:t>
      </w:r>
      <w:r w:rsidR="0097618F">
        <w:rPr>
          <w:i/>
        </w:rPr>
        <w:t>Propionibacterium</w:t>
      </w:r>
      <w:r w:rsidRPr="005F7C97">
        <w:rPr>
          <w:i/>
        </w:rPr>
        <w:t xml:space="preserve"> virus </w:t>
      </w:r>
      <w:r w:rsidR="0097618F">
        <w:rPr>
          <w:i/>
        </w:rPr>
        <w:t>PFR1</w:t>
      </w:r>
      <w:r w:rsidRPr="005F7C97">
        <w:rPr>
          <w:color w:val="000000"/>
        </w:rPr>
        <w:t xml:space="preserve"> was chosen </w:t>
      </w:r>
      <w:r w:rsidR="005A0E9E">
        <w:rPr>
          <w:color w:val="000000"/>
        </w:rPr>
        <w:t xml:space="preserve">because it represents </w:t>
      </w:r>
      <w:r w:rsidRPr="005F7C97">
        <w:rPr>
          <w:color w:val="000000"/>
        </w:rPr>
        <w:t>the first sequenced member of this genus.</w:t>
      </w:r>
    </w:p>
    <w:p w14:paraId="30C7D224" w14:textId="77777777" w:rsidR="005F7C97" w:rsidRPr="005F7C97" w:rsidRDefault="005F7C97" w:rsidP="005F7C97"/>
    <w:p w14:paraId="7CD5779B" w14:textId="77777777" w:rsidR="005F7C97" w:rsidRPr="005F7C97" w:rsidRDefault="005F7C97" w:rsidP="005A0E9E">
      <w:pPr>
        <w:outlineLvl w:val="0"/>
      </w:pPr>
      <w:r w:rsidRPr="005F7C97">
        <w:rPr>
          <w:color w:val="000000"/>
        </w:rPr>
        <w:t>The name of the new genus was based on that of its first sequenced member.</w:t>
      </w:r>
    </w:p>
    <w:p w14:paraId="245A6EEB" w14:textId="77777777" w:rsidR="008E736E" w:rsidRDefault="008E736E" w:rsidP="00AC0E72">
      <w:pPr>
        <w:rPr>
          <w:lang w:val="en-GB"/>
        </w:rPr>
      </w:pPr>
    </w:p>
    <w:p w14:paraId="3C5DFFB8" w14:textId="77777777" w:rsidR="006D72D9" w:rsidRDefault="006D72D9" w:rsidP="006D72D9">
      <w:pPr>
        <w:rPr>
          <w:lang w:val="en-GB"/>
        </w:rPr>
        <w:sectPr w:rsidR="006D72D9" w:rsidSect="006D72D9">
          <w:type w:val="continuous"/>
          <w:pgSz w:w="11909" w:h="16834" w:code="9"/>
          <w:pgMar w:top="1296" w:right="1008" w:bottom="1440" w:left="1440" w:header="706" w:footer="706" w:gutter="0"/>
          <w:cols w:space="708"/>
          <w:docGrid w:linePitch="360"/>
        </w:sectPr>
      </w:pPr>
    </w:p>
    <w:p w14:paraId="7D280138" w14:textId="77777777" w:rsidR="006D72D9" w:rsidRPr="00126312" w:rsidRDefault="006D72D9" w:rsidP="006D72D9"/>
    <w:p w14:paraId="02C3B736" w14:textId="77777777" w:rsidR="006D72D9" w:rsidRPr="00126312" w:rsidRDefault="006D72D9" w:rsidP="006D72D9">
      <w:pPr>
        <w:rPr>
          <w:lang w:val="en-GB"/>
        </w:rPr>
        <w:sectPr w:rsidR="006D72D9" w:rsidRPr="00126312" w:rsidSect="00E741B3">
          <w:type w:val="continuous"/>
          <w:pgSz w:w="11909" w:h="16834" w:code="9"/>
          <w:pgMar w:top="1296" w:right="1008" w:bottom="1440" w:left="1440" w:header="706" w:footer="706" w:gutter="0"/>
          <w:cols w:space="708"/>
          <w:docGrid w:linePitch="360"/>
        </w:sectPr>
      </w:pPr>
    </w:p>
    <w:p w14:paraId="29583B74" w14:textId="77777777" w:rsidR="006D72D9" w:rsidRPr="00126312" w:rsidRDefault="006D72D9" w:rsidP="006D72D9">
      <w:pPr>
        <w:rPr>
          <w:lang w:eastAsia="en-CA"/>
        </w:rPr>
      </w:pPr>
      <w:r w:rsidRPr="00126312">
        <w:rPr>
          <w:rFonts w:ascii="TimesNewRomanPS-BoldMT" w:hAnsi="TimesNewRomanPS-BoldMT"/>
          <w:b/>
          <w:bCs/>
          <w:color w:val="000000"/>
          <w:lang w:eastAsia="en-CA"/>
        </w:rPr>
        <w:t>Table 1</w:t>
      </w:r>
      <w:r w:rsidRPr="00126312">
        <w:rPr>
          <w:rFonts w:ascii="TimesNewRomanPSMT" w:hAnsi="TimesNewRomanPSMT"/>
          <w:color w:val="000000"/>
          <w:lang w:eastAsia="en-CA"/>
        </w:rPr>
        <w:t xml:space="preserve">. Properties of the phages belonging to the genus </w:t>
      </w:r>
      <w:r>
        <w:rPr>
          <w:rFonts w:ascii="TimesNewRomanPS-ItalicMT" w:hAnsi="TimesNewRomanPS-ItalicMT"/>
          <w:i/>
          <w:iCs/>
          <w:color w:val="000000"/>
          <w:lang w:eastAsia="en-CA"/>
        </w:rPr>
        <w:t>Pfr1</w:t>
      </w:r>
      <w:r w:rsidRPr="00126312">
        <w:rPr>
          <w:rFonts w:ascii="TimesNewRomanPS-ItalicMT" w:hAnsi="TimesNewRomanPS-ItalicMT"/>
          <w:i/>
          <w:iCs/>
          <w:color w:val="000000"/>
          <w:lang w:eastAsia="en-CA"/>
        </w:rPr>
        <w:t>virus</w:t>
      </w:r>
      <w:r w:rsidRPr="00126312">
        <w:rPr>
          <w:rFonts w:ascii="TimesNewRomanPSMT" w:hAnsi="TimesNewRomanPSMT"/>
          <w:color w:val="000000"/>
          <w:lang w:eastAsia="en-CA"/>
        </w:rPr>
        <w:t>.</w:t>
      </w:r>
    </w:p>
    <w:tbl>
      <w:tblPr>
        <w:tblW w:w="97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390"/>
        <w:gridCol w:w="1283"/>
        <w:gridCol w:w="1030"/>
        <w:gridCol w:w="885"/>
        <w:gridCol w:w="990"/>
        <w:gridCol w:w="790"/>
        <w:gridCol w:w="1096"/>
      </w:tblGrid>
      <w:tr w:rsidR="003B6A95" w:rsidRPr="00126312" w14:paraId="59B08675" w14:textId="77777777" w:rsidTr="005A0E9E">
        <w:tc>
          <w:tcPr>
            <w:tcW w:w="2276" w:type="dxa"/>
            <w:shd w:val="clear" w:color="auto" w:fill="auto"/>
          </w:tcPr>
          <w:p w14:paraId="38EDAAC2" w14:textId="046295CF" w:rsidR="003B6A95" w:rsidRPr="00126312" w:rsidRDefault="005A0E9E" w:rsidP="0017169A">
            <w:pPr>
              <w:rPr>
                <w:lang w:eastAsia="en-CA"/>
              </w:rPr>
            </w:pPr>
            <w:r>
              <w:rPr>
                <w:lang w:eastAsia="en-CA"/>
              </w:rPr>
              <w:t>Propionibacterium phage</w:t>
            </w:r>
          </w:p>
        </w:tc>
        <w:tc>
          <w:tcPr>
            <w:tcW w:w="1390" w:type="dxa"/>
            <w:shd w:val="clear" w:color="auto" w:fill="auto"/>
          </w:tcPr>
          <w:p w14:paraId="10BCA840" w14:textId="77777777" w:rsidR="003B6A95" w:rsidRPr="00126312" w:rsidRDefault="003B6A95" w:rsidP="0017169A">
            <w:pPr>
              <w:rPr>
                <w:lang w:eastAsia="en-CA"/>
              </w:rPr>
            </w:pPr>
            <w:r w:rsidRPr="00126312">
              <w:rPr>
                <w:lang w:eastAsia="en-CA"/>
              </w:rPr>
              <w:t>RefSeq No.</w:t>
            </w:r>
          </w:p>
        </w:tc>
        <w:tc>
          <w:tcPr>
            <w:tcW w:w="1283" w:type="dxa"/>
            <w:shd w:val="clear" w:color="auto" w:fill="auto"/>
          </w:tcPr>
          <w:p w14:paraId="308F5593" w14:textId="77777777" w:rsidR="003B6A95" w:rsidRPr="00126312" w:rsidRDefault="003B6A95" w:rsidP="0017169A">
            <w:pPr>
              <w:rPr>
                <w:lang w:eastAsia="en-CA"/>
              </w:rPr>
            </w:pPr>
            <w:r w:rsidRPr="00126312">
              <w:rPr>
                <w:lang w:eastAsia="en-CA"/>
              </w:rPr>
              <w:t>GenBank accession No.</w:t>
            </w:r>
          </w:p>
        </w:tc>
        <w:tc>
          <w:tcPr>
            <w:tcW w:w="1030" w:type="dxa"/>
            <w:shd w:val="clear" w:color="auto" w:fill="auto"/>
          </w:tcPr>
          <w:p w14:paraId="05D2B655" w14:textId="77777777" w:rsidR="003B6A95" w:rsidRPr="00126312" w:rsidRDefault="003B6A95" w:rsidP="0017169A">
            <w:pPr>
              <w:rPr>
                <w:lang w:eastAsia="en-CA"/>
              </w:rPr>
            </w:pPr>
            <w:r w:rsidRPr="00126312">
              <w:rPr>
                <w:lang w:eastAsia="en-CA"/>
              </w:rPr>
              <w:t>Genome length (kb)</w:t>
            </w:r>
          </w:p>
        </w:tc>
        <w:tc>
          <w:tcPr>
            <w:tcW w:w="885" w:type="dxa"/>
            <w:shd w:val="clear" w:color="auto" w:fill="auto"/>
          </w:tcPr>
          <w:p w14:paraId="7FA98AC1" w14:textId="77777777" w:rsidR="003B6A95" w:rsidRPr="00126312" w:rsidRDefault="003B6A95" w:rsidP="0017169A">
            <w:pPr>
              <w:rPr>
                <w:lang w:eastAsia="en-CA"/>
              </w:rPr>
            </w:pPr>
            <w:r w:rsidRPr="00126312">
              <w:rPr>
                <w:lang w:eastAsia="en-CA"/>
              </w:rPr>
              <w:t>%G+C</w:t>
            </w:r>
          </w:p>
        </w:tc>
        <w:tc>
          <w:tcPr>
            <w:tcW w:w="990" w:type="dxa"/>
            <w:shd w:val="clear" w:color="auto" w:fill="auto"/>
          </w:tcPr>
          <w:p w14:paraId="263D10F1" w14:textId="77777777" w:rsidR="003B6A95" w:rsidRPr="00126312" w:rsidRDefault="003B6A95" w:rsidP="0017169A">
            <w:pPr>
              <w:rPr>
                <w:lang w:eastAsia="en-CA"/>
              </w:rPr>
            </w:pPr>
            <w:r>
              <w:rPr>
                <w:lang w:eastAsia="en-CA"/>
              </w:rPr>
              <w:t># protein</w:t>
            </w:r>
            <w:r w:rsidRPr="00126312">
              <w:rPr>
                <w:lang w:eastAsia="en-CA"/>
              </w:rPr>
              <w:t>s</w:t>
            </w:r>
          </w:p>
        </w:tc>
        <w:tc>
          <w:tcPr>
            <w:tcW w:w="790" w:type="dxa"/>
            <w:shd w:val="clear" w:color="auto" w:fill="auto"/>
          </w:tcPr>
          <w:p w14:paraId="0FBFA6B9" w14:textId="77777777" w:rsidR="003B6A95" w:rsidRPr="00126312" w:rsidRDefault="003B6A95" w:rsidP="0017169A">
            <w:pPr>
              <w:rPr>
                <w:lang w:eastAsia="en-CA"/>
              </w:rPr>
            </w:pPr>
            <w:r w:rsidRPr="00126312">
              <w:rPr>
                <w:lang w:eastAsia="en-CA"/>
              </w:rPr>
              <w:t># tRNA</w:t>
            </w:r>
          </w:p>
        </w:tc>
        <w:tc>
          <w:tcPr>
            <w:tcW w:w="1096" w:type="dxa"/>
            <w:shd w:val="clear" w:color="auto" w:fill="auto"/>
          </w:tcPr>
          <w:p w14:paraId="466BD163" w14:textId="77777777" w:rsidR="003B6A95" w:rsidRPr="00126312" w:rsidRDefault="003B6A95" w:rsidP="0017169A">
            <w:pPr>
              <w:rPr>
                <w:lang w:eastAsia="en-CA"/>
              </w:rPr>
            </w:pPr>
            <w:r w:rsidRPr="00126312">
              <w:rPr>
                <w:lang w:eastAsia="en-CA"/>
              </w:rPr>
              <w:t>% DNA</w:t>
            </w:r>
          </w:p>
          <w:p w14:paraId="314C9610" w14:textId="77777777" w:rsidR="003B6A95" w:rsidRPr="00126312" w:rsidRDefault="003B6A95" w:rsidP="0017169A">
            <w:pPr>
              <w:rPr>
                <w:lang w:eastAsia="en-CA"/>
              </w:rPr>
            </w:pPr>
            <w:r w:rsidRPr="00126312">
              <w:rPr>
                <w:lang w:eastAsia="en-CA"/>
              </w:rPr>
              <w:t>sequence</w:t>
            </w:r>
          </w:p>
          <w:p w14:paraId="6225A825" w14:textId="77777777" w:rsidR="003B6A95" w:rsidRPr="00126312" w:rsidRDefault="003B6A95" w:rsidP="0017169A">
            <w:pPr>
              <w:rPr>
                <w:lang w:eastAsia="en-CA"/>
              </w:rPr>
            </w:pPr>
            <w:r w:rsidRPr="00126312">
              <w:rPr>
                <w:lang w:eastAsia="en-CA"/>
              </w:rPr>
              <w:t>identity*</w:t>
            </w:r>
          </w:p>
        </w:tc>
      </w:tr>
      <w:tr w:rsidR="003B6A95" w:rsidRPr="00126312" w14:paraId="7ABAD091" w14:textId="77777777" w:rsidTr="005A0E9E">
        <w:tc>
          <w:tcPr>
            <w:tcW w:w="2276" w:type="dxa"/>
            <w:shd w:val="clear" w:color="auto" w:fill="auto"/>
          </w:tcPr>
          <w:p w14:paraId="6423095F" w14:textId="77777777" w:rsidR="003B6A95" w:rsidRPr="00126312" w:rsidRDefault="003B6A95" w:rsidP="0017169A">
            <w:pPr>
              <w:rPr>
                <w:lang w:eastAsia="en-CA"/>
              </w:rPr>
            </w:pPr>
            <w:r>
              <w:rPr>
                <w:lang w:eastAsia="en-CA"/>
              </w:rPr>
              <w:t>PFR1</w:t>
            </w:r>
          </w:p>
        </w:tc>
        <w:tc>
          <w:tcPr>
            <w:tcW w:w="1390" w:type="dxa"/>
            <w:vAlign w:val="center"/>
          </w:tcPr>
          <w:p w14:paraId="2F2B7DAB" w14:textId="77777777" w:rsidR="003B6A95" w:rsidRDefault="003B6A95" w:rsidP="0017169A">
            <w:pPr>
              <w:jc w:val="center"/>
              <w:rPr>
                <w:lang w:val="en-CA" w:eastAsia="en-CA"/>
              </w:rPr>
            </w:pPr>
            <w:r>
              <w:t>NC_031076</w:t>
            </w:r>
          </w:p>
        </w:tc>
        <w:tc>
          <w:tcPr>
            <w:tcW w:w="1283" w:type="dxa"/>
            <w:vAlign w:val="center"/>
          </w:tcPr>
          <w:p w14:paraId="3280E223" w14:textId="77777777" w:rsidR="003B6A95" w:rsidRDefault="003B6A95" w:rsidP="0017169A">
            <w:pPr>
              <w:jc w:val="center"/>
            </w:pPr>
            <w:r>
              <w:t>KU984979</w:t>
            </w:r>
          </w:p>
        </w:tc>
        <w:tc>
          <w:tcPr>
            <w:tcW w:w="1030" w:type="dxa"/>
            <w:vAlign w:val="center"/>
          </w:tcPr>
          <w:p w14:paraId="15702A77" w14:textId="77777777" w:rsidR="003B6A95" w:rsidRDefault="003B6A95" w:rsidP="006D72D9">
            <w:pPr>
              <w:jc w:val="center"/>
            </w:pPr>
            <w:r>
              <w:t>38.07</w:t>
            </w:r>
          </w:p>
        </w:tc>
        <w:tc>
          <w:tcPr>
            <w:tcW w:w="885" w:type="dxa"/>
            <w:vAlign w:val="center"/>
          </w:tcPr>
          <w:p w14:paraId="0B19D13B" w14:textId="77777777" w:rsidR="003B6A95" w:rsidRDefault="003B6A95" w:rsidP="006D72D9">
            <w:pPr>
              <w:jc w:val="center"/>
            </w:pPr>
            <w:r>
              <w:t>64.8</w:t>
            </w:r>
          </w:p>
        </w:tc>
        <w:tc>
          <w:tcPr>
            <w:tcW w:w="990" w:type="dxa"/>
            <w:vAlign w:val="center"/>
          </w:tcPr>
          <w:p w14:paraId="787C682C" w14:textId="77777777" w:rsidR="003B6A95" w:rsidRDefault="003B6A95" w:rsidP="006D72D9">
            <w:pPr>
              <w:jc w:val="center"/>
            </w:pPr>
            <w:r w:rsidRPr="008C6EB6">
              <w:t>56</w:t>
            </w:r>
          </w:p>
        </w:tc>
        <w:tc>
          <w:tcPr>
            <w:tcW w:w="790" w:type="dxa"/>
            <w:shd w:val="clear" w:color="auto" w:fill="auto"/>
          </w:tcPr>
          <w:p w14:paraId="57B55279" w14:textId="77777777" w:rsidR="003B6A95" w:rsidRPr="00126312" w:rsidRDefault="003B6A95" w:rsidP="006D72D9">
            <w:pPr>
              <w:jc w:val="center"/>
              <w:rPr>
                <w:lang w:eastAsia="en-CA"/>
              </w:rPr>
            </w:pPr>
            <w:r>
              <w:rPr>
                <w:lang w:eastAsia="en-CA"/>
              </w:rPr>
              <w:t>0</w:t>
            </w:r>
          </w:p>
        </w:tc>
        <w:tc>
          <w:tcPr>
            <w:tcW w:w="1096" w:type="dxa"/>
            <w:shd w:val="clear" w:color="auto" w:fill="auto"/>
          </w:tcPr>
          <w:p w14:paraId="6229DAC6" w14:textId="77777777" w:rsidR="003B6A95" w:rsidRPr="00126312" w:rsidRDefault="003B6A95" w:rsidP="006D72D9">
            <w:pPr>
              <w:jc w:val="center"/>
              <w:rPr>
                <w:lang w:eastAsia="en-CA"/>
              </w:rPr>
            </w:pPr>
            <w:r w:rsidRPr="00126312">
              <w:rPr>
                <w:lang w:eastAsia="en-CA"/>
              </w:rPr>
              <w:t>100</w:t>
            </w:r>
          </w:p>
        </w:tc>
      </w:tr>
      <w:tr w:rsidR="003B6A95" w:rsidRPr="00126312" w14:paraId="31F3E1C5" w14:textId="77777777" w:rsidTr="005A0E9E">
        <w:tc>
          <w:tcPr>
            <w:tcW w:w="2276" w:type="dxa"/>
            <w:shd w:val="clear" w:color="auto" w:fill="auto"/>
          </w:tcPr>
          <w:p w14:paraId="6BE0476E" w14:textId="77777777" w:rsidR="003B6A95" w:rsidRPr="00126312" w:rsidRDefault="003B6A95" w:rsidP="0017169A">
            <w:pPr>
              <w:rPr>
                <w:lang w:eastAsia="en-CA"/>
              </w:rPr>
            </w:pPr>
          </w:p>
        </w:tc>
        <w:tc>
          <w:tcPr>
            <w:tcW w:w="1390" w:type="dxa"/>
            <w:shd w:val="clear" w:color="auto" w:fill="auto"/>
          </w:tcPr>
          <w:p w14:paraId="16213170" w14:textId="77777777" w:rsidR="003B6A95" w:rsidRPr="00126312" w:rsidRDefault="003B6A95" w:rsidP="0017169A">
            <w:pPr>
              <w:rPr>
                <w:lang w:eastAsia="en-CA"/>
              </w:rPr>
            </w:pPr>
          </w:p>
        </w:tc>
        <w:tc>
          <w:tcPr>
            <w:tcW w:w="1283" w:type="dxa"/>
            <w:shd w:val="clear" w:color="auto" w:fill="auto"/>
          </w:tcPr>
          <w:p w14:paraId="12724D83" w14:textId="77777777" w:rsidR="003B6A95" w:rsidRPr="00126312" w:rsidRDefault="003B6A95" w:rsidP="0017169A">
            <w:pPr>
              <w:rPr>
                <w:lang w:eastAsia="en-CA"/>
              </w:rPr>
            </w:pPr>
          </w:p>
        </w:tc>
        <w:tc>
          <w:tcPr>
            <w:tcW w:w="1030" w:type="dxa"/>
            <w:shd w:val="clear" w:color="auto" w:fill="auto"/>
          </w:tcPr>
          <w:p w14:paraId="46145A6E" w14:textId="77777777" w:rsidR="003B6A95" w:rsidRPr="00126312" w:rsidRDefault="003B6A95" w:rsidP="006D72D9">
            <w:pPr>
              <w:jc w:val="center"/>
              <w:rPr>
                <w:lang w:eastAsia="en-CA"/>
              </w:rPr>
            </w:pPr>
          </w:p>
        </w:tc>
        <w:tc>
          <w:tcPr>
            <w:tcW w:w="885" w:type="dxa"/>
            <w:shd w:val="clear" w:color="auto" w:fill="auto"/>
          </w:tcPr>
          <w:p w14:paraId="15DDFE83" w14:textId="77777777" w:rsidR="003B6A95" w:rsidRPr="00126312" w:rsidRDefault="003B6A95" w:rsidP="006D72D9">
            <w:pPr>
              <w:jc w:val="center"/>
              <w:rPr>
                <w:lang w:eastAsia="en-CA"/>
              </w:rPr>
            </w:pPr>
          </w:p>
        </w:tc>
        <w:tc>
          <w:tcPr>
            <w:tcW w:w="990" w:type="dxa"/>
            <w:shd w:val="clear" w:color="auto" w:fill="auto"/>
          </w:tcPr>
          <w:p w14:paraId="0079A52F" w14:textId="77777777" w:rsidR="003B6A95" w:rsidRPr="00126312" w:rsidRDefault="003B6A95" w:rsidP="006D72D9">
            <w:pPr>
              <w:jc w:val="center"/>
              <w:rPr>
                <w:lang w:eastAsia="en-CA"/>
              </w:rPr>
            </w:pPr>
          </w:p>
        </w:tc>
        <w:tc>
          <w:tcPr>
            <w:tcW w:w="790" w:type="dxa"/>
            <w:shd w:val="clear" w:color="auto" w:fill="auto"/>
          </w:tcPr>
          <w:p w14:paraId="55C2BB63" w14:textId="77777777" w:rsidR="003B6A95" w:rsidRPr="00126312" w:rsidRDefault="003B6A95" w:rsidP="006D72D9">
            <w:pPr>
              <w:jc w:val="center"/>
              <w:rPr>
                <w:lang w:eastAsia="en-CA"/>
              </w:rPr>
            </w:pPr>
          </w:p>
        </w:tc>
        <w:tc>
          <w:tcPr>
            <w:tcW w:w="1096" w:type="dxa"/>
            <w:shd w:val="clear" w:color="auto" w:fill="auto"/>
          </w:tcPr>
          <w:p w14:paraId="2A9BB177" w14:textId="77777777" w:rsidR="003B6A95" w:rsidRPr="00126312" w:rsidRDefault="003B6A95" w:rsidP="006D72D9">
            <w:pPr>
              <w:jc w:val="center"/>
              <w:rPr>
                <w:lang w:eastAsia="en-CA"/>
              </w:rPr>
            </w:pPr>
          </w:p>
        </w:tc>
      </w:tr>
      <w:tr w:rsidR="003B6A95" w:rsidRPr="00126312" w14:paraId="14816D28" w14:textId="77777777" w:rsidTr="005A0E9E">
        <w:tc>
          <w:tcPr>
            <w:tcW w:w="2276" w:type="dxa"/>
            <w:shd w:val="clear" w:color="auto" w:fill="auto"/>
          </w:tcPr>
          <w:p w14:paraId="74291D9A" w14:textId="77777777" w:rsidR="003B6A95" w:rsidRPr="00126312" w:rsidRDefault="003B6A95" w:rsidP="0017169A">
            <w:pPr>
              <w:rPr>
                <w:lang w:eastAsia="en-CA"/>
              </w:rPr>
            </w:pPr>
            <w:r>
              <w:rPr>
                <w:lang w:eastAsia="en-CA"/>
              </w:rPr>
              <w:t>PFR2***</w:t>
            </w:r>
          </w:p>
        </w:tc>
        <w:tc>
          <w:tcPr>
            <w:tcW w:w="1390" w:type="dxa"/>
            <w:vAlign w:val="center"/>
          </w:tcPr>
          <w:p w14:paraId="68619162" w14:textId="77777777" w:rsidR="003B6A95" w:rsidRDefault="003B6A95" w:rsidP="0017169A">
            <w:pPr>
              <w:jc w:val="center"/>
              <w:rPr>
                <w:lang w:val="en-CA" w:eastAsia="en-CA"/>
              </w:rPr>
            </w:pPr>
            <w:r>
              <w:t>NC_031108</w:t>
            </w:r>
          </w:p>
        </w:tc>
        <w:tc>
          <w:tcPr>
            <w:tcW w:w="1283" w:type="dxa"/>
            <w:vAlign w:val="center"/>
          </w:tcPr>
          <w:p w14:paraId="021340EF" w14:textId="77777777" w:rsidR="003B6A95" w:rsidRDefault="003B6A95" w:rsidP="0017169A">
            <w:pPr>
              <w:jc w:val="center"/>
            </w:pPr>
            <w:r>
              <w:t>KU984980</w:t>
            </w:r>
          </w:p>
        </w:tc>
        <w:tc>
          <w:tcPr>
            <w:tcW w:w="1030" w:type="dxa"/>
            <w:vAlign w:val="center"/>
          </w:tcPr>
          <w:p w14:paraId="37AECC9E" w14:textId="77777777" w:rsidR="003B6A95" w:rsidRDefault="003B6A95" w:rsidP="006D72D9">
            <w:pPr>
              <w:jc w:val="center"/>
            </w:pPr>
            <w:r>
              <w:t>39.64</w:t>
            </w:r>
          </w:p>
        </w:tc>
        <w:tc>
          <w:tcPr>
            <w:tcW w:w="885" w:type="dxa"/>
            <w:vAlign w:val="center"/>
          </w:tcPr>
          <w:p w14:paraId="47ECA14B" w14:textId="77777777" w:rsidR="003B6A95" w:rsidRDefault="003B6A95" w:rsidP="006D72D9">
            <w:pPr>
              <w:jc w:val="center"/>
            </w:pPr>
            <w:r>
              <w:t>65.0</w:t>
            </w:r>
          </w:p>
        </w:tc>
        <w:tc>
          <w:tcPr>
            <w:tcW w:w="990" w:type="dxa"/>
            <w:vAlign w:val="center"/>
          </w:tcPr>
          <w:p w14:paraId="5BF48732" w14:textId="77777777" w:rsidR="003B6A95" w:rsidRDefault="003B6A95" w:rsidP="006D72D9">
            <w:pPr>
              <w:jc w:val="center"/>
            </w:pPr>
            <w:r w:rsidRPr="00664518">
              <w:t>58</w:t>
            </w:r>
          </w:p>
        </w:tc>
        <w:tc>
          <w:tcPr>
            <w:tcW w:w="790" w:type="dxa"/>
            <w:vAlign w:val="center"/>
          </w:tcPr>
          <w:p w14:paraId="4EF377E8" w14:textId="77777777" w:rsidR="003B6A95" w:rsidRDefault="003B6A95" w:rsidP="006D72D9">
            <w:pPr>
              <w:jc w:val="center"/>
              <w:rPr>
                <w:lang w:val="en-CA" w:eastAsia="en-CA"/>
              </w:rPr>
            </w:pPr>
            <w:r w:rsidRPr="00664518">
              <w:t>0</w:t>
            </w:r>
          </w:p>
        </w:tc>
        <w:tc>
          <w:tcPr>
            <w:tcW w:w="1096" w:type="dxa"/>
            <w:vAlign w:val="center"/>
          </w:tcPr>
          <w:p w14:paraId="6D4BEAF3" w14:textId="77777777" w:rsidR="003B6A95" w:rsidRDefault="003B6A95" w:rsidP="006D72D9">
            <w:pPr>
              <w:jc w:val="center"/>
            </w:pPr>
            <w:r>
              <w:t>99</w:t>
            </w:r>
          </w:p>
        </w:tc>
      </w:tr>
    </w:tbl>
    <w:p w14:paraId="44455B31" w14:textId="77777777" w:rsidR="006D72D9" w:rsidRPr="00126312" w:rsidRDefault="006D72D9" w:rsidP="006D72D9">
      <w:pPr>
        <w:rPr>
          <w:rFonts w:ascii="TimesNewRomanPS-BoldMT" w:hAnsi="TimesNewRomanPS-BoldMT"/>
          <w:b/>
          <w:bCs/>
          <w:color w:val="000000"/>
          <w:lang w:eastAsia="en-CA"/>
        </w:rPr>
      </w:pPr>
      <w:r w:rsidRPr="00126312">
        <w:rPr>
          <w:lang w:eastAsia="en-CA"/>
        </w:rPr>
        <w:br/>
      </w:r>
      <w:r w:rsidRPr="00126312">
        <w:rPr>
          <w:rFonts w:ascii="TimesNewRomanPSMT" w:hAnsi="TimesNewRomanPSMT"/>
          <w:color w:val="000000"/>
          <w:lang w:eastAsia="en-CA"/>
        </w:rPr>
        <w:t>* Determined using BLASTN</w:t>
      </w:r>
      <w:r>
        <w:rPr>
          <w:rFonts w:ascii="TimesNewRomanPSMT" w:hAnsi="TimesNewRomanPSMT"/>
          <w:color w:val="000000"/>
          <w:lang w:eastAsia="en-CA"/>
        </w:rPr>
        <w:t>; *** Should be considered a strain</w:t>
      </w:r>
      <w:r w:rsidR="009B3F49">
        <w:rPr>
          <w:rFonts w:ascii="TimesNewRomanPSMT" w:hAnsi="TimesNewRomanPSMT"/>
          <w:color w:val="000000"/>
          <w:lang w:eastAsia="en-CA"/>
        </w:rPr>
        <w:t xml:space="preserve"> of </w:t>
      </w:r>
      <w:r w:rsidR="009B3F49">
        <w:rPr>
          <w:rFonts w:ascii="TimesNewRomanPSMT" w:hAnsi="TimesNewRomanPSMT"/>
          <w:i/>
          <w:color w:val="000000"/>
          <w:lang w:eastAsia="en-CA"/>
        </w:rPr>
        <w:t>Propionibacterium virus PRF1</w:t>
      </w:r>
      <w:r>
        <w:rPr>
          <w:rFonts w:ascii="TimesNewRomanPSMT" w:hAnsi="TimesNewRomanPSMT"/>
          <w:color w:val="000000"/>
          <w:lang w:eastAsia="en-CA"/>
        </w:rPr>
        <w:t xml:space="preserve"> within this genus.</w:t>
      </w:r>
      <w:r w:rsidRPr="00126312">
        <w:rPr>
          <w:rFonts w:ascii="TimesNewRomanPSMT" w:hAnsi="TimesNewRomanPSMT"/>
          <w:color w:val="000000"/>
          <w:lang w:eastAsia="en-CA"/>
        </w:rPr>
        <w:br/>
      </w:r>
    </w:p>
    <w:p w14:paraId="33C84177" w14:textId="77777777" w:rsidR="0097618F" w:rsidRDefault="0097618F" w:rsidP="006D72D9">
      <w:pPr>
        <w:jc w:val="both"/>
        <w:rPr>
          <w:b/>
          <w:bCs/>
          <w:color w:val="000000"/>
          <w:lang w:eastAsia="en-CA"/>
        </w:rPr>
      </w:pPr>
    </w:p>
    <w:p w14:paraId="248443D4" w14:textId="77777777" w:rsidR="0097618F" w:rsidRDefault="0097618F" w:rsidP="006D72D9">
      <w:pPr>
        <w:jc w:val="both"/>
        <w:rPr>
          <w:b/>
          <w:bCs/>
          <w:color w:val="000000"/>
          <w:lang w:eastAsia="en-CA"/>
        </w:rPr>
      </w:pPr>
    </w:p>
    <w:p w14:paraId="012AEE71" w14:textId="77777777" w:rsidR="0097618F" w:rsidRDefault="0097618F" w:rsidP="006D72D9">
      <w:pPr>
        <w:jc w:val="both"/>
        <w:rPr>
          <w:b/>
          <w:bCs/>
          <w:color w:val="000000"/>
          <w:lang w:eastAsia="en-CA"/>
        </w:rPr>
      </w:pPr>
    </w:p>
    <w:p w14:paraId="670A1108" w14:textId="77777777" w:rsidR="00CC177C" w:rsidRDefault="00CC177C" w:rsidP="006D72D9">
      <w:pPr>
        <w:jc w:val="both"/>
        <w:rPr>
          <w:b/>
          <w:bCs/>
          <w:color w:val="000000"/>
          <w:lang w:eastAsia="en-CA"/>
        </w:rPr>
      </w:pPr>
    </w:p>
    <w:p w14:paraId="083C51A7" w14:textId="77777777" w:rsidR="00CC177C" w:rsidRDefault="00CC177C" w:rsidP="006D72D9">
      <w:pPr>
        <w:jc w:val="both"/>
        <w:rPr>
          <w:b/>
          <w:bCs/>
          <w:color w:val="000000"/>
          <w:lang w:eastAsia="en-CA"/>
        </w:rPr>
      </w:pPr>
    </w:p>
    <w:p w14:paraId="0D152845" w14:textId="77777777" w:rsidR="00CC177C" w:rsidRDefault="00CC177C" w:rsidP="006D72D9">
      <w:pPr>
        <w:jc w:val="both"/>
        <w:rPr>
          <w:b/>
          <w:bCs/>
          <w:color w:val="000000"/>
          <w:lang w:eastAsia="en-CA"/>
        </w:rPr>
      </w:pPr>
    </w:p>
    <w:p w14:paraId="7FB6A62B" w14:textId="77777777" w:rsidR="00CC177C" w:rsidRDefault="00CC177C" w:rsidP="006D72D9">
      <w:pPr>
        <w:jc w:val="both"/>
        <w:rPr>
          <w:b/>
          <w:bCs/>
          <w:color w:val="000000"/>
          <w:lang w:eastAsia="en-CA"/>
        </w:rPr>
      </w:pPr>
    </w:p>
    <w:p w14:paraId="1D11CE49" w14:textId="77777777" w:rsidR="009B3F49" w:rsidRDefault="009B3F49">
      <w:pPr>
        <w:rPr>
          <w:b/>
          <w:bCs/>
          <w:color w:val="000000"/>
          <w:lang w:eastAsia="en-CA"/>
        </w:rPr>
      </w:pPr>
      <w:r>
        <w:rPr>
          <w:b/>
          <w:bCs/>
          <w:color w:val="000000"/>
          <w:lang w:eastAsia="en-CA"/>
        </w:rPr>
        <w:br w:type="page"/>
      </w:r>
    </w:p>
    <w:p w14:paraId="4F239A5D" w14:textId="5519D82D" w:rsidR="006D72D9" w:rsidRPr="00126312" w:rsidRDefault="006D72D9" w:rsidP="006D72D9">
      <w:pPr>
        <w:jc w:val="both"/>
        <w:rPr>
          <w:lang w:val="en-GB"/>
        </w:rPr>
      </w:pPr>
      <w:r w:rsidRPr="00126312">
        <w:rPr>
          <w:b/>
          <w:bCs/>
          <w:color w:val="000000"/>
          <w:lang w:eastAsia="en-CA"/>
        </w:rPr>
        <w:lastRenderedPageBreak/>
        <w:t xml:space="preserve">Fig. 1. </w:t>
      </w:r>
      <w:r w:rsidRPr="00126312">
        <w:rPr>
          <w:color w:val="000000"/>
          <w:lang w:eastAsia="en-CA"/>
        </w:rPr>
        <w:t xml:space="preserve">Electron micrograph of negatively stained </w:t>
      </w:r>
      <w:r w:rsidR="005A0E9E">
        <w:rPr>
          <w:color w:val="000000"/>
          <w:lang w:eastAsia="en-CA"/>
        </w:rPr>
        <w:t xml:space="preserve">Propionibacterium </w:t>
      </w:r>
      <w:r w:rsidRPr="00126312">
        <w:rPr>
          <w:color w:val="000000"/>
          <w:lang w:eastAsia="en-CA"/>
        </w:rPr>
        <w:t xml:space="preserve">phage </w:t>
      </w:r>
      <w:r>
        <w:rPr>
          <w:color w:val="000000"/>
          <w:lang w:eastAsia="en-CA"/>
        </w:rPr>
        <w:t xml:space="preserve">PFR1 </w:t>
      </w:r>
      <w:r w:rsidRPr="00126312">
        <w:rPr>
          <w:color w:val="000000"/>
          <w:lang w:eastAsia="en-CA"/>
        </w:rPr>
        <w:t xml:space="preserve">(provided by: </w:t>
      </w:r>
      <w:r>
        <w:rPr>
          <w:color w:val="000000"/>
          <w:lang w:eastAsia="en-CA"/>
        </w:rPr>
        <w:t xml:space="preserve">Dr. Steve </w:t>
      </w:r>
      <w:r w:rsidRPr="00101C37">
        <w:rPr>
          <w:color w:val="000000"/>
          <w:lang w:eastAsia="en-CA"/>
        </w:rPr>
        <w:t>Petrovski, College of Science, Health and Engineering, School of Life Sciences, Department of Physiology, Anatomy and Microbiology, La Trobe University, Melbourne, Australia)</w:t>
      </w:r>
      <w:r w:rsidRPr="00126312">
        <w:rPr>
          <w:color w:val="000000"/>
          <w:lang w:eastAsia="en-CA"/>
        </w:rPr>
        <w:t>.</w:t>
      </w:r>
      <w:r>
        <w:rPr>
          <w:color w:val="000000"/>
          <w:lang w:eastAsia="en-CA"/>
        </w:rPr>
        <w:t xml:space="preserve">  </w:t>
      </w:r>
      <w:r>
        <w:t>The scale bar represents 100 nm.</w:t>
      </w:r>
    </w:p>
    <w:p w14:paraId="23E5C571" w14:textId="77777777" w:rsidR="006D72D9" w:rsidRDefault="006D72D9" w:rsidP="006D72D9">
      <w:pPr>
        <w:jc w:val="center"/>
        <w:rPr>
          <w:lang w:val="en-GB"/>
        </w:rPr>
      </w:pPr>
      <w:r>
        <w:rPr>
          <w:noProof/>
          <w:lang w:val="en-GB" w:eastAsia="en-GB"/>
        </w:rPr>
        <w:drawing>
          <wp:inline distT="0" distB="0" distL="0" distR="0" wp14:anchorId="1CDA7EAF" wp14:editId="053AB839">
            <wp:extent cx="3512623" cy="2941320"/>
            <wp:effectExtent l="0" t="0" r="0" b="0"/>
            <wp:docPr id="4" name="Picture 4" descr="PFR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R1 "/>
                    <pic:cNvPicPr>
                      <a:picLocks noChangeAspect="1" noChangeArrowheads="1"/>
                    </pic:cNvPicPr>
                  </pic:nvPicPr>
                  <pic:blipFill>
                    <a:blip r:embed="rId11" cstate="print">
                      <a:extLst>
                        <a:ext uri="{28A0092B-C50C-407E-A947-70E740481C1C}">
                          <a14:useLocalDpi xmlns:a14="http://schemas.microsoft.com/office/drawing/2010/main" val="0"/>
                        </a:ext>
                      </a:extLst>
                    </a:blip>
                    <a:srcRect t="16391"/>
                    <a:stretch>
                      <a:fillRect/>
                    </a:stretch>
                  </pic:blipFill>
                  <pic:spPr bwMode="auto">
                    <a:xfrm>
                      <a:off x="0" y="0"/>
                      <a:ext cx="3520262" cy="2947717"/>
                    </a:xfrm>
                    <a:prstGeom prst="rect">
                      <a:avLst/>
                    </a:prstGeom>
                    <a:noFill/>
                    <a:ln>
                      <a:noFill/>
                    </a:ln>
                  </pic:spPr>
                </pic:pic>
              </a:graphicData>
            </a:graphic>
          </wp:inline>
        </w:drawing>
      </w:r>
    </w:p>
    <w:p w14:paraId="40D449DB" w14:textId="77777777" w:rsidR="006D72D9" w:rsidRPr="00126312" w:rsidRDefault="006D72D9" w:rsidP="006D72D9">
      <w:pPr>
        <w:jc w:val="both"/>
        <w:rPr>
          <w:lang w:val="en-GB"/>
        </w:rPr>
      </w:pPr>
    </w:p>
    <w:p w14:paraId="2B222D2D" w14:textId="77777777" w:rsidR="009B3F49" w:rsidRDefault="009B3F49" w:rsidP="006D72D9">
      <w:pPr>
        <w:jc w:val="both"/>
        <w:rPr>
          <w:rFonts w:eastAsia="Times"/>
          <w:b/>
          <w:color w:val="000000"/>
          <w:lang w:eastAsia="en-GB"/>
        </w:rPr>
      </w:pPr>
    </w:p>
    <w:p w14:paraId="592BF049" w14:textId="77777777" w:rsidR="006D72D9" w:rsidRDefault="006D72D9" w:rsidP="006D72D9">
      <w:pPr>
        <w:jc w:val="both"/>
        <w:rPr>
          <w:rFonts w:eastAsia="Times"/>
          <w:lang w:eastAsia="en-GB"/>
        </w:rPr>
      </w:pPr>
      <w:r w:rsidRPr="00126312">
        <w:rPr>
          <w:rFonts w:eastAsia="Times"/>
          <w:b/>
          <w:color w:val="000000"/>
          <w:lang w:eastAsia="en-GB"/>
        </w:rPr>
        <w:t xml:space="preserve">Fig. </w:t>
      </w:r>
      <w:r>
        <w:rPr>
          <w:rFonts w:eastAsia="Times"/>
          <w:b/>
          <w:color w:val="000000"/>
          <w:lang w:eastAsia="en-GB"/>
        </w:rPr>
        <w:t>2</w:t>
      </w:r>
      <w:r w:rsidRPr="00126312">
        <w:rPr>
          <w:rFonts w:eastAsia="Times"/>
          <w:b/>
          <w:color w:val="000000"/>
          <w:lang w:eastAsia="en-GB"/>
        </w:rPr>
        <w:t>.</w:t>
      </w:r>
      <w:r w:rsidRPr="00126312">
        <w:rPr>
          <w:rFonts w:eastAsia="Times"/>
          <w:color w:val="000000"/>
          <w:lang w:eastAsia="en-GB"/>
        </w:rPr>
        <w:t xml:space="preserve"> Phylogenetic analysis of (A) large subunit terminase proteins, and (B) major capsid proteins major tail proteins of </w:t>
      </w:r>
      <w:r>
        <w:rPr>
          <w:rFonts w:eastAsia="Times"/>
          <w:color w:val="000000"/>
          <w:lang w:eastAsia="en-GB"/>
        </w:rPr>
        <w:t>Propionibacterium phage PFR1</w:t>
      </w:r>
      <w:r w:rsidRPr="00126312">
        <w:rPr>
          <w:rFonts w:eastAsia="Times"/>
          <w:color w:val="000000"/>
          <w:lang w:eastAsia="en-GB"/>
        </w:rPr>
        <w:t>-related viruses and variety of other phage proteins constructed using “one click” at phylogeny.fr [3].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(Syst Biol. 2006;55(4):539-52.) for details".</w:t>
      </w:r>
      <w:r w:rsidRPr="00126312">
        <w:rPr>
          <w:rFonts w:eastAsia="Times"/>
          <w:lang w:eastAsia="en-GB"/>
        </w:rPr>
        <w:t xml:space="preserve"> </w:t>
      </w:r>
    </w:p>
    <w:p w14:paraId="05AE11AA" w14:textId="77777777" w:rsidR="006D72D9" w:rsidRDefault="006D72D9" w:rsidP="006D72D9">
      <w:pPr>
        <w:jc w:val="both"/>
        <w:rPr>
          <w:rFonts w:eastAsia="Times"/>
          <w:lang w:eastAsia="en-GB"/>
        </w:rPr>
      </w:pPr>
    </w:p>
    <w:p w14:paraId="01E864E1" w14:textId="77777777" w:rsidR="0097618F" w:rsidRDefault="0097618F" w:rsidP="006D72D9">
      <w:pPr>
        <w:jc w:val="both"/>
        <w:rPr>
          <w:rFonts w:eastAsia="Times"/>
          <w:b/>
          <w:lang w:eastAsia="en-GB"/>
        </w:rPr>
      </w:pPr>
    </w:p>
    <w:p w14:paraId="4B72AF1B" w14:textId="77777777" w:rsidR="0097618F" w:rsidRDefault="0097618F" w:rsidP="006D72D9">
      <w:pPr>
        <w:jc w:val="both"/>
        <w:rPr>
          <w:rFonts w:eastAsia="Times"/>
          <w:b/>
          <w:lang w:eastAsia="en-GB"/>
        </w:rPr>
      </w:pPr>
    </w:p>
    <w:p w14:paraId="09B46E77" w14:textId="77777777" w:rsidR="0097618F" w:rsidRDefault="0097618F" w:rsidP="006D72D9">
      <w:pPr>
        <w:jc w:val="both"/>
        <w:rPr>
          <w:rFonts w:eastAsia="Times"/>
          <w:b/>
          <w:lang w:eastAsia="en-GB"/>
        </w:rPr>
      </w:pPr>
    </w:p>
    <w:p w14:paraId="69FE7291" w14:textId="77777777" w:rsidR="0097618F" w:rsidRDefault="0097618F" w:rsidP="006D72D9">
      <w:pPr>
        <w:jc w:val="both"/>
        <w:rPr>
          <w:rFonts w:eastAsia="Times"/>
          <w:b/>
          <w:lang w:eastAsia="en-GB"/>
        </w:rPr>
      </w:pPr>
    </w:p>
    <w:p w14:paraId="617E0C60" w14:textId="77777777" w:rsidR="0097618F" w:rsidRDefault="0097618F" w:rsidP="006D72D9">
      <w:pPr>
        <w:jc w:val="both"/>
        <w:rPr>
          <w:rFonts w:eastAsia="Times"/>
          <w:b/>
          <w:lang w:eastAsia="en-GB"/>
        </w:rPr>
      </w:pPr>
    </w:p>
    <w:p w14:paraId="3BADA7B3" w14:textId="77777777" w:rsidR="0097618F" w:rsidRDefault="0097618F" w:rsidP="006D72D9">
      <w:pPr>
        <w:jc w:val="both"/>
        <w:rPr>
          <w:rFonts w:eastAsia="Times"/>
          <w:b/>
          <w:lang w:eastAsia="en-GB"/>
        </w:rPr>
      </w:pPr>
    </w:p>
    <w:p w14:paraId="10075C4A" w14:textId="77777777" w:rsidR="0097618F" w:rsidRDefault="0097618F" w:rsidP="006D72D9">
      <w:pPr>
        <w:jc w:val="both"/>
        <w:rPr>
          <w:rFonts w:eastAsia="Times"/>
          <w:b/>
          <w:lang w:eastAsia="en-GB"/>
        </w:rPr>
      </w:pPr>
    </w:p>
    <w:p w14:paraId="056C49B2" w14:textId="77777777" w:rsidR="0097618F" w:rsidRDefault="0097618F" w:rsidP="006D72D9">
      <w:pPr>
        <w:jc w:val="both"/>
        <w:rPr>
          <w:rFonts w:eastAsia="Times"/>
          <w:b/>
          <w:lang w:eastAsia="en-GB"/>
        </w:rPr>
      </w:pPr>
    </w:p>
    <w:p w14:paraId="2653D7BB" w14:textId="77777777" w:rsidR="0097618F" w:rsidRDefault="0097618F" w:rsidP="006D72D9">
      <w:pPr>
        <w:jc w:val="both"/>
        <w:rPr>
          <w:rFonts w:eastAsia="Times"/>
          <w:b/>
          <w:lang w:eastAsia="en-GB"/>
        </w:rPr>
      </w:pPr>
    </w:p>
    <w:p w14:paraId="7987DEE5" w14:textId="77777777" w:rsidR="0097618F" w:rsidRDefault="0097618F" w:rsidP="006D72D9">
      <w:pPr>
        <w:jc w:val="both"/>
        <w:rPr>
          <w:rFonts w:eastAsia="Times"/>
          <w:b/>
          <w:lang w:eastAsia="en-GB"/>
        </w:rPr>
      </w:pPr>
    </w:p>
    <w:p w14:paraId="6C7EFFB5" w14:textId="77777777" w:rsidR="0097618F" w:rsidRDefault="0097618F" w:rsidP="006D72D9">
      <w:pPr>
        <w:jc w:val="both"/>
        <w:rPr>
          <w:rFonts w:eastAsia="Times"/>
          <w:b/>
          <w:lang w:eastAsia="en-GB"/>
        </w:rPr>
      </w:pPr>
    </w:p>
    <w:p w14:paraId="5F24C128" w14:textId="77777777" w:rsidR="0097618F" w:rsidRDefault="0097618F" w:rsidP="006D72D9">
      <w:pPr>
        <w:jc w:val="both"/>
        <w:rPr>
          <w:rFonts w:eastAsia="Times"/>
          <w:b/>
          <w:lang w:eastAsia="en-GB"/>
        </w:rPr>
      </w:pPr>
    </w:p>
    <w:p w14:paraId="201305DB" w14:textId="77777777" w:rsidR="0097618F" w:rsidRDefault="0097618F" w:rsidP="006D72D9">
      <w:pPr>
        <w:jc w:val="both"/>
        <w:rPr>
          <w:rFonts w:eastAsia="Times"/>
          <w:b/>
          <w:lang w:eastAsia="en-GB"/>
        </w:rPr>
      </w:pPr>
    </w:p>
    <w:p w14:paraId="14D472BC" w14:textId="77777777" w:rsidR="0097618F" w:rsidRDefault="0097618F" w:rsidP="006D72D9">
      <w:pPr>
        <w:jc w:val="both"/>
        <w:rPr>
          <w:rFonts w:eastAsia="Times"/>
          <w:b/>
          <w:lang w:eastAsia="en-GB"/>
        </w:rPr>
      </w:pPr>
    </w:p>
    <w:p w14:paraId="35425769" w14:textId="77777777" w:rsidR="0097618F" w:rsidRDefault="0097618F" w:rsidP="006D72D9">
      <w:pPr>
        <w:jc w:val="both"/>
        <w:rPr>
          <w:rFonts w:eastAsia="Times"/>
          <w:b/>
          <w:lang w:eastAsia="en-GB"/>
        </w:rPr>
      </w:pPr>
    </w:p>
    <w:p w14:paraId="4D202B10" w14:textId="77777777" w:rsidR="0097618F" w:rsidRDefault="0097618F" w:rsidP="006D72D9">
      <w:pPr>
        <w:jc w:val="both"/>
        <w:rPr>
          <w:rFonts w:eastAsia="Times"/>
          <w:b/>
          <w:lang w:eastAsia="en-GB"/>
        </w:rPr>
      </w:pPr>
    </w:p>
    <w:p w14:paraId="6620EF6F" w14:textId="77777777" w:rsidR="0097618F" w:rsidRDefault="0097618F" w:rsidP="006D72D9">
      <w:pPr>
        <w:jc w:val="both"/>
        <w:rPr>
          <w:rFonts w:eastAsia="Times"/>
          <w:b/>
          <w:lang w:eastAsia="en-GB"/>
        </w:rPr>
      </w:pPr>
    </w:p>
    <w:p w14:paraId="188E6160" w14:textId="77777777" w:rsidR="0097618F" w:rsidRDefault="0097618F" w:rsidP="006D72D9">
      <w:pPr>
        <w:jc w:val="both"/>
        <w:rPr>
          <w:rFonts w:eastAsia="Times"/>
          <w:b/>
          <w:lang w:eastAsia="en-GB"/>
        </w:rPr>
      </w:pPr>
    </w:p>
    <w:p w14:paraId="293A5081" w14:textId="77777777" w:rsidR="006D72D9" w:rsidRDefault="006D72D9" w:rsidP="005A0E9E">
      <w:pPr>
        <w:jc w:val="both"/>
        <w:outlineLvl w:val="0"/>
        <w:rPr>
          <w:rFonts w:eastAsia="Times"/>
          <w:b/>
          <w:lang w:eastAsia="en-GB"/>
        </w:rPr>
      </w:pPr>
      <w:r w:rsidRPr="009E528A">
        <w:rPr>
          <w:rFonts w:eastAsia="Times"/>
          <w:b/>
          <w:lang w:eastAsia="en-GB"/>
        </w:rPr>
        <w:t>A. TerL proteins</w:t>
      </w:r>
    </w:p>
    <w:p w14:paraId="3D2F3A48" w14:textId="77777777" w:rsidR="006D72D9" w:rsidRDefault="003B6A95" w:rsidP="006D72D9">
      <w:pPr>
        <w:jc w:val="both"/>
        <w:rPr>
          <w:rFonts w:eastAsia="Times"/>
          <w:b/>
          <w:lang w:eastAsia="en-GB"/>
        </w:rPr>
      </w:pPr>
      <w:r>
        <w:rPr>
          <w:rFonts w:eastAsia="Times"/>
          <w:b/>
          <w:noProof/>
          <w:lang w:val="en-GB" w:eastAsia="en-GB"/>
        </w:rPr>
        <mc:AlternateContent>
          <mc:Choice Requires="wps">
            <w:drawing>
              <wp:anchor distT="0" distB="0" distL="114300" distR="114300" simplePos="0" relativeHeight="251660288" behindDoc="0" locked="0" layoutInCell="1" allowOverlap="1" wp14:anchorId="38BA2279" wp14:editId="57C94589">
                <wp:simplePos x="0" y="0"/>
                <wp:positionH relativeFrom="column">
                  <wp:posOffset>2918460</wp:posOffset>
                </wp:positionH>
                <wp:positionV relativeFrom="paragraph">
                  <wp:posOffset>29845</wp:posOffset>
                </wp:positionV>
                <wp:extent cx="3291840" cy="464820"/>
                <wp:effectExtent l="17145" t="20955" r="1524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1840" cy="46482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rect w14:anchorId="62CE1B27" id="Rectangle 6" o:spid="_x0000_s1026" style="position:absolute;margin-left:229.8pt;margin-top:2.35pt;width:259.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" filled="f" strokecolor="red" strokeweight="2.25pt"/>
            </w:pict>
          </mc:Fallback>
        </mc:AlternateContent>
      </w:r>
      <w:r w:rsidR="006D72D9">
        <w:rPr>
          <w:rFonts w:eastAsia="Times"/>
          <w:b/>
          <w:noProof/>
          <w:lang w:val="en-GB" w:eastAsia="en-GB"/>
        </w:rPr>
        <w:drawing>
          <wp:inline distT="0" distB="0" distL="0" distR="0" wp14:anchorId="5F7D80D8" wp14:editId="6CC4C3C5">
            <wp:extent cx="6004560" cy="4213860"/>
            <wp:effectExtent l="0" t="0" r="0" b="0"/>
            <wp:docPr id="3" name="Picture 3" descr="TerL protein phylo tree 2017-01-19_13-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rL protein phylo tree 2017-01-19_13-24-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4560" cy="4213860"/>
                    </a:xfrm>
                    <a:prstGeom prst="rect">
                      <a:avLst/>
                    </a:prstGeom>
                    <a:noFill/>
                    <a:ln>
                      <a:noFill/>
                    </a:ln>
                  </pic:spPr>
                </pic:pic>
              </a:graphicData>
            </a:graphic>
          </wp:inline>
        </w:drawing>
      </w:r>
    </w:p>
    <w:p w14:paraId="57DBB8B1" w14:textId="77777777" w:rsidR="006D72D9" w:rsidRDefault="006D72D9" w:rsidP="006D72D9">
      <w:pPr>
        <w:jc w:val="both"/>
        <w:rPr>
          <w:rFonts w:eastAsia="Times"/>
          <w:b/>
          <w:lang w:eastAsia="en-GB"/>
        </w:rPr>
      </w:pPr>
    </w:p>
    <w:p w14:paraId="234944A8" w14:textId="77777777" w:rsidR="0097618F" w:rsidRDefault="0097618F" w:rsidP="006D72D9">
      <w:pPr>
        <w:jc w:val="both"/>
        <w:rPr>
          <w:rFonts w:eastAsia="Times"/>
          <w:b/>
          <w:lang w:eastAsia="en-GB"/>
        </w:rPr>
      </w:pPr>
    </w:p>
    <w:p w14:paraId="4CDB9927" w14:textId="77777777" w:rsidR="0097618F" w:rsidRDefault="0097618F" w:rsidP="006D72D9">
      <w:pPr>
        <w:jc w:val="both"/>
        <w:rPr>
          <w:rFonts w:eastAsia="Times"/>
          <w:b/>
          <w:lang w:eastAsia="en-GB"/>
        </w:rPr>
      </w:pPr>
    </w:p>
    <w:p w14:paraId="1F8F48E2" w14:textId="77777777" w:rsidR="0097618F" w:rsidRDefault="0097618F" w:rsidP="006D72D9">
      <w:pPr>
        <w:jc w:val="both"/>
        <w:rPr>
          <w:rFonts w:eastAsia="Times"/>
          <w:b/>
          <w:lang w:eastAsia="en-GB"/>
        </w:rPr>
      </w:pPr>
    </w:p>
    <w:p w14:paraId="56EBC62A" w14:textId="77777777" w:rsidR="0097618F" w:rsidRDefault="0097618F" w:rsidP="006D72D9">
      <w:pPr>
        <w:jc w:val="both"/>
        <w:rPr>
          <w:rFonts w:eastAsia="Times"/>
          <w:b/>
          <w:lang w:eastAsia="en-GB"/>
        </w:rPr>
      </w:pPr>
    </w:p>
    <w:p w14:paraId="2E1E1EB6" w14:textId="77777777" w:rsidR="0097618F" w:rsidRDefault="0097618F" w:rsidP="006D72D9">
      <w:pPr>
        <w:jc w:val="both"/>
        <w:rPr>
          <w:rFonts w:eastAsia="Times"/>
          <w:b/>
          <w:lang w:eastAsia="en-GB"/>
        </w:rPr>
      </w:pPr>
    </w:p>
    <w:p w14:paraId="548D03B5" w14:textId="77777777" w:rsidR="0097618F" w:rsidRDefault="0097618F" w:rsidP="006D72D9">
      <w:pPr>
        <w:jc w:val="both"/>
        <w:rPr>
          <w:rFonts w:eastAsia="Times"/>
          <w:b/>
          <w:lang w:eastAsia="en-GB"/>
        </w:rPr>
      </w:pPr>
    </w:p>
    <w:p w14:paraId="40D41D8E" w14:textId="77777777" w:rsidR="0097618F" w:rsidRDefault="0097618F" w:rsidP="006D72D9">
      <w:pPr>
        <w:jc w:val="both"/>
        <w:rPr>
          <w:rFonts w:eastAsia="Times"/>
          <w:b/>
          <w:lang w:eastAsia="en-GB"/>
        </w:rPr>
      </w:pPr>
    </w:p>
    <w:p w14:paraId="247EB285" w14:textId="77777777" w:rsidR="0097618F" w:rsidRDefault="0097618F" w:rsidP="006D72D9">
      <w:pPr>
        <w:jc w:val="both"/>
        <w:rPr>
          <w:rFonts w:eastAsia="Times"/>
          <w:b/>
          <w:lang w:eastAsia="en-GB"/>
        </w:rPr>
      </w:pPr>
    </w:p>
    <w:p w14:paraId="2B935B4E" w14:textId="77777777" w:rsidR="0097618F" w:rsidRDefault="0097618F" w:rsidP="006D72D9">
      <w:pPr>
        <w:jc w:val="both"/>
        <w:rPr>
          <w:rFonts w:eastAsia="Times"/>
          <w:b/>
          <w:lang w:eastAsia="en-GB"/>
        </w:rPr>
      </w:pPr>
    </w:p>
    <w:p w14:paraId="4F2281A6" w14:textId="77777777" w:rsidR="0097618F" w:rsidRDefault="0097618F" w:rsidP="006D72D9">
      <w:pPr>
        <w:jc w:val="both"/>
        <w:rPr>
          <w:rFonts w:eastAsia="Times"/>
          <w:b/>
          <w:lang w:eastAsia="en-GB"/>
        </w:rPr>
      </w:pPr>
    </w:p>
    <w:p w14:paraId="79D48DA0" w14:textId="77777777" w:rsidR="0097618F" w:rsidRDefault="0097618F" w:rsidP="006D72D9">
      <w:pPr>
        <w:jc w:val="both"/>
        <w:rPr>
          <w:rFonts w:eastAsia="Times"/>
          <w:b/>
          <w:lang w:eastAsia="en-GB"/>
        </w:rPr>
      </w:pPr>
    </w:p>
    <w:p w14:paraId="6A4A2889" w14:textId="77777777" w:rsidR="0097618F" w:rsidRDefault="0097618F" w:rsidP="006D72D9">
      <w:pPr>
        <w:jc w:val="both"/>
        <w:rPr>
          <w:rFonts w:eastAsia="Times"/>
          <w:b/>
          <w:lang w:eastAsia="en-GB"/>
        </w:rPr>
      </w:pPr>
    </w:p>
    <w:p w14:paraId="3A0201E3" w14:textId="77777777" w:rsidR="0097618F" w:rsidRDefault="0097618F" w:rsidP="006D72D9">
      <w:pPr>
        <w:jc w:val="both"/>
        <w:rPr>
          <w:rFonts w:eastAsia="Times"/>
          <w:b/>
          <w:lang w:eastAsia="en-GB"/>
        </w:rPr>
      </w:pPr>
    </w:p>
    <w:p w14:paraId="7A0F2D70" w14:textId="77777777" w:rsidR="0097618F" w:rsidRDefault="0097618F" w:rsidP="006D72D9">
      <w:pPr>
        <w:jc w:val="both"/>
        <w:rPr>
          <w:rFonts w:eastAsia="Times"/>
          <w:b/>
          <w:lang w:eastAsia="en-GB"/>
        </w:rPr>
      </w:pPr>
    </w:p>
    <w:p w14:paraId="334F28EF" w14:textId="77777777" w:rsidR="0097618F" w:rsidRDefault="0097618F" w:rsidP="006D72D9">
      <w:pPr>
        <w:jc w:val="both"/>
        <w:rPr>
          <w:rFonts w:eastAsia="Times"/>
          <w:b/>
          <w:lang w:eastAsia="en-GB"/>
        </w:rPr>
      </w:pPr>
    </w:p>
    <w:p w14:paraId="7EE22D6A" w14:textId="77777777" w:rsidR="0097618F" w:rsidRDefault="0097618F" w:rsidP="006D72D9">
      <w:pPr>
        <w:jc w:val="both"/>
        <w:rPr>
          <w:rFonts w:eastAsia="Times"/>
          <w:b/>
          <w:lang w:eastAsia="en-GB"/>
        </w:rPr>
      </w:pPr>
    </w:p>
    <w:p w14:paraId="45F53E7C" w14:textId="77777777" w:rsidR="0097618F" w:rsidRDefault="0097618F" w:rsidP="006D72D9">
      <w:pPr>
        <w:jc w:val="both"/>
        <w:rPr>
          <w:rFonts w:eastAsia="Times"/>
          <w:b/>
          <w:lang w:eastAsia="en-GB"/>
        </w:rPr>
      </w:pPr>
    </w:p>
    <w:p w14:paraId="6C6AE200" w14:textId="77777777" w:rsidR="0097618F" w:rsidRDefault="0097618F" w:rsidP="006D72D9">
      <w:pPr>
        <w:jc w:val="both"/>
        <w:rPr>
          <w:rFonts w:eastAsia="Times"/>
          <w:b/>
          <w:lang w:eastAsia="en-GB"/>
        </w:rPr>
      </w:pPr>
    </w:p>
    <w:p w14:paraId="5B6D1ABA" w14:textId="77777777" w:rsidR="0097618F" w:rsidRDefault="0097618F" w:rsidP="006D72D9">
      <w:pPr>
        <w:jc w:val="both"/>
        <w:rPr>
          <w:rFonts w:eastAsia="Times"/>
          <w:b/>
          <w:lang w:eastAsia="en-GB"/>
        </w:rPr>
      </w:pPr>
    </w:p>
    <w:p w14:paraId="03A72DD0" w14:textId="77777777" w:rsidR="0097618F" w:rsidRDefault="0097618F" w:rsidP="006D72D9">
      <w:pPr>
        <w:jc w:val="both"/>
        <w:rPr>
          <w:rFonts w:eastAsia="Times"/>
          <w:b/>
          <w:lang w:eastAsia="en-GB"/>
        </w:rPr>
      </w:pPr>
    </w:p>
    <w:p w14:paraId="3F9528AE" w14:textId="77777777" w:rsidR="0097618F" w:rsidRDefault="0097618F" w:rsidP="006D72D9">
      <w:pPr>
        <w:jc w:val="both"/>
        <w:rPr>
          <w:rFonts w:eastAsia="Times"/>
          <w:b/>
          <w:lang w:eastAsia="en-GB"/>
        </w:rPr>
      </w:pPr>
    </w:p>
    <w:p w14:paraId="584663D1" w14:textId="77777777" w:rsidR="0097618F" w:rsidRDefault="0097618F" w:rsidP="006D72D9">
      <w:pPr>
        <w:jc w:val="both"/>
        <w:rPr>
          <w:rFonts w:eastAsia="Times"/>
          <w:b/>
          <w:lang w:eastAsia="en-GB"/>
        </w:rPr>
      </w:pPr>
    </w:p>
    <w:p w14:paraId="1F702324" w14:textId="77777777" w:rsidR="0097618F" w:rsidRDefault="0097618F" w:rsidP="006D72D9">
      <w:pPr>
        <w:jc w:val="both"/>
        <w:rPr>
          <w:rFonts w:eastAsia="Times"/>
          <w:b/>
          <w:lang w:eastAsia="en-GB"/>
        </w:rPr>
      </w:pPr>
    </w:p>
    <w:p w14:paraId="2C00EA3B" w14:textId="77777777" w:rsidR="0097618F" w:rsidRDefault="0097618F" w:rsidP="006D72D9">
      <w:pPr>
        <w:jc w:val="both"/>
        <w:rPr>
          <w:rFonts w:eastAsia="Times"/>
          <w:b/>
          <w:lang w:eastAsia="en-GB"/>
        </w:rPr>
      </w:pPr>
    </w:p>
    <w:p w14:paraId="3A269E38" w14:textId="77777777" w:rsidR="0097618F" w:rsidRDefault="0097618F" w:rsidP="006D72D9">
      <w:pPr>
        <w:jc w:val="both"/>
        <w:rPr>
          <w:rFonts w:eastAsia="Times"/>
          <w:b/>
          <w:lang w:eastAsia="en-GB"/>
        </w:rPr>
      </w:pPr>
    </w:p>
    <w:p w14:paraId="76909A70" w14:textId="77777777" w:rsidR="006D72D9" w:rsidRPr="009E528A" w:rsidRDefault="006D72D9" w:rsidP="005A0E9E">
      <w:pPr>
        <w:jc w:val="both"/>
        <w:outlineLvl w:val="0"/>
        <w:rPr>
          <w:rFonts w:eastAsia="Times"/>
          <w:b/>
          <w:color w:val="000000"/>
          <w:lang w:eastAsia="en-GB"/>
        </w:rPr>
      </w:pPr>
      <w:r>
        <w:rPr>
          <w:rFonts w:eastAsia="Times"/>
          <w:b/>
          <w:lang w:eastAsia="en-GB"/>
        </w:rPr>
        <w:t>B. Major capsid proteins</w:t>
      </w:r>
    </w:p>
    <w:p w14:paraId="2481C18F" w14:textId="77777777" w:rsidR="006D72D9" w:rsidRPr="00126312" w:rsidRDefault="006D72D9" w:rsidP="006D72D9">
      <w:pPr>
        <w:ind w:left="2880" w:hanging="2880"/>
        <w:jc w:val="both"/>
        <w:rPr>
          <w:rFonts w:eastAsia="Times"/>
          <w:szCs w:val="20"/>
          <w:lang w:eastAsia="en-GB"/>
        </w:rPr>
      </w:pPr>
      <w:r>
        <w:rPr>
          <w:rFonts w:eastAsia="Times"/>
          <w:noProof/>
          <w:szCs w:val="20"/>
          <w:lang w:val="en-GB" w:eastAsia="en-GB"/>
        </w:rPr>
        <mc:AlternateContent>
          <mc:Choice Requires="wps">
            <w:drawing>
              <wp:anchor distT="0" distB="0" distL="114300" distR="114300" simplePos="0" relativeHeight="251661312" behindDoc="0" locked="0" layoutInCell="1" allowOverlap="1" wp14:anchorId="53974C95" wp14:editId="6E61DF3F">
                <wp:simplePos x="0" y="0"/>
                <wp:positionH relativeFrom="column">
                  <wp:posOffset>1584960</wp:posOffset>
                </wp:positionH>
                <wp:positionV relativeFrom="paragraph">
                  <wp:posOffset>487680</wp:posOffset>
                </wp:positionV>
                <wp:extent cx="2613660" cy="426720"/>
                <wp:effectExtent l="22860" t="20955" r="20955"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42672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rect w14:anchorId="5DC5A3D8" id="Rectangle 5" o:spid="_x0000_s1026" style="position:absolute;margin-left:124.8pt;margin-top:38.4pt;width:205.8pt;height:3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" filled="f" strokecolor="red" strokeweight="2.25pt"/>
            </w:pict>
          </mc:Fallback>
        </mc:AlternateContent>
      </w:r>
      <w:r>
        <w:rPr>
          <w:rFonts w:eastAsia="Times"/>
          <w:noProof/>
          <w:szCs w:val="20"/>
          <w:lang w:val="en-GB" w:eastAsia="en-GB"/>
        </w:rPr>
        <w:drawing>
          <wp:inline distT="0" distB="0" distL="0" distR="0" wp14:anchorId="3BBE5C0A" wp14:editId="10DDB1B2">
            <wp:extent cx="6004560" cy="4899660"/>
            <wp:effectExtent l="0" t="0" r="0" b="0"/>
            <wp:docPr id="2" name="Picture 2" descr="Major capsid protein phylo tree 2017-01-19_13-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jor capsid protein phylo tree 2017-01-19_13-24-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4560" cy="4899660"/>
                    </a:xfrm>
                    <a:prstGeom prst="rect">
                      <a:avLst/>
                    </a:prstGeom>
                    <a:noFill/>
                    <a:ln>
                      <a:noFill/>
                    </a:ln>
                  </pic:spPr>
                </pic:pic>
              </a:graphicData>
            </a:graphic>
          </wp:inline>
        </w:drawing>
      </w:r>
    </w:p>
    <w:p w14:paraId="20EB62FE" w14:textId="77777777" w:rsidR="006D72D9" w:rsidRDefault="006D72D9" w:rsidP="006D72D9">
      <w:pPr>
        <w:jc w:val="both"/>
        <w:rPr>
          <w:b/>
          <w:bCs/>
          <w:color w:val="000000"/>
        </w:rPr>
      </w:pPr>
    </w:p>
    <w:sectPr w:rsidR="006D72D9"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307CF" w14:textId="77777777" w:rsidR="00243E2F" w:rsidRDefault="00243E2F">
      <w:pPr>
        <w:pStyle w:val="Header"/>
        <w:pPrChange w:id="2" w:author=" King" w:date="2007-11-09T06:47:00Z">
          <w:pPr/>
        </w:pPrChange>
      </w:pPr>
      <w:r>
        <w:separator/>
      </w:r>
    </w:p>
  </w:endnote>
  <w:endnote w:type="continuationSeparator" w:id="0">
    <w:p w14:paraId="23B86461" w14:textId="77777777" w:rsidR="00243E2F" w:rsidRDefault="00243E2F">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00"/>
    <w:family w:val="auto"/>
    <w:pitch w:val="variable"/>
    <w:sig w:usb0="00000000" w:usb1="C0007841"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TimesNewRomanPS-ItalicMT">
    <w:altName w:val="Times New Roman"/>
    <w:charset w:val="00"/>
    <w:family w:val="auto"/>
    <w:pitch w:val="variable"/>
    <w:sig w:usb0="00000000"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59DC0"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D60339">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D60339">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22243" w14:textId="77777777" w:rsidR="00243E2F" w:rsidRDefault="00243E2F">
      <w:pPr>
        <w:pStyle w:val="Header"/>
        <w:pPrChange w:id="0" w:author=" King" w:date="2007-11-09T06:47:00Z">
          <w:pPr/>
        </w:pPrChange>
      </w:pPr>
      <w:r>
        <w:separator/>
      </w:r>
    </w:p>
  </w:footnote>
  <w:footnote w:type="continuationSeparator" w:id="0">
    <w:p w14:paraId="1B142497" w14:textId="77777777" w:rsidR="00243E2F" w:rsidRDefault="00243E2F">
      <w:pPr>
        <w:pStyle w:val="Header"/>
        <w:pPrChange w:id="1" w:author=" King" w:date="2007-11-09T06:47:00Z">
          <w:pPr/>
        </w:pPrChang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595F"/>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25BF4"/>
    <w:rsid w:val="002361B7"/>
    <w:rsid w:val="00236673"/>
    <w:rsid w:val="00243E2F"/>
    <w:rsid w:val="002539A7"/>
    <w:rsid w:val="00260377"/>
    <w:rsid w:val="00265E5A"/>
    <w:rsid w:val="002732D1"/>
    <w:rsid w:val="00275425"/>
    <w:rsid w:val="002777A3"/>
    <w:rsid w:val="0028367A"/>
    <w:rsid w:val="00283FE0"/>
    <w:rsid w:val="0028627E"/>
    <w:rsid w:val="00291213"/>
    <w:rsid w:val="002930D6"/>
    <w:rsid w:val="00295698"/>
    <w:rsid w:val="002978A6"/>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6A95"/>
    <w:rsid w:val="003D08E5"/>
    <w:rsid w:val="003E02C3"/>
    <w:rsid w:val="003E3AB2"/>
    <w:rsid w:val="003E7EEC"/>
    <w:rsid w:val="003F0180"/>
    <w:rsid w:val="00402B0B"/>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034"/>
    <w:rsid w:val="00503E8B"/>
    <w:rsid w:val="00505D9F"/>
    <w:rsid w:val="0050662A"/>
    <w:rsid w:val="00516D9F"/>
    <w:rsid w:val="005201AD"/>
    <w:rsid w:val="00521073"/>
    <w:rsid w:val="00522E71"/>
    <w:rsid w:val="00530EFE"/>
    <w:rsid w:val="00534EED"/>
    <w:rsid w:val="005368BD"/>
    <w:rsid w:val="00581ED1"/>
    <w:rsid w:val="005929A4"/>
    <w:rsid w:val="005953F1"/>
    <w:rsid w:val="005A0E9E"/>
    <w:rsid w:val="005B600C"/>
    <w:rsid w:val="005D0BFD"/>
    <w:rsid w:val="005D19C9"/>
    <w:rsid w:val="005D7EC4"/>
    <w:rsid w:val="005D7F24"/>
    <w:rsid w:val="005F4309"/>
    <w:rsid w:val="005F53C1"/>
    <w:rsid w:val="005F7C97"/>
    <w:rsid w:val="00603CFD"/>
    <w:rsid w:val="006071CA"/>
    <w:rsid w:val="0061592E"/>
    <w:rsid w:val="00616487"/>
    <w:rsid w:val="00623274"/>
    <w:rsid w:val="00633947"/>
    <w:rsid w:val="00635404"/>
    <w:rsid w:val="00636B14"/>
    <w:rsid w:val="00637004"/>
    <w:rsid w:val="00637223"/>
    <w:rsid w:val="00650171"/>
    <w:rsid w:val="00692BE3"/>
    <w:rsid w:val="006A1735"/>
    <w:rsid w:val="006B2EE7"/>
    <w:rsid w:val="006C4A0C"/>
    <w:rsid w:val="006D1B4E"/>
    <w:rsid w:val="006D59EF"/>
    <w:rsid w:val="006D72D9"/>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F5109"/>
    <w:rsid w:val="0080060B"/>
    <w:rsid w:val="00800BFD"/>
    <w:rsid w:val="00801148"/>
    <w:rsid w:val="008071B6"/>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4957"/>
    <w:rsid w:val="008F5FB1"/>
    <w:rsid w:val="008F6DE4"/>
    <w:rsid w:val="009062EF"/>
    <w:rsid w:val="00926A4D"/>
    <w:rsid w:val="0093622B"/>
    <w:rsid w:val="009551D6"/>
    <w:rsid w:val="009564E3"/>
    <w:rsid w:val="0096368E"/>
    <w:rsid w:val="00963FA9"/>
    <w:rsid w:val="00965805"/>
    <w:rsid w:val="00973680"/>
    <w:rsid w:val="0097618F"/>
    <w:rsid w:val="009761BE"/>
    <w:rsid w:val="009845DD"/>
    <w:rsid w:val="009864D7"/>
    <w:rsid w:val="00986F6A"/>
    <w:rsid w:val="00987C77"/>
    <w:rsid w:val="009903E2"/>
    <w:rsid w:val="00991A82"/>
    <w:rsid w:val="0099268F"/>
    <w:rsid w:val="00995425"/>
    <w:rsid w:val="009A3DE5"/>
    <w:rsid w:val="009A6C98"/>
    <w:rsid w:val="009B1712"/>
    <w:rsid w:val="009B3F49"/>
    <w:rsid w:val="009C1EBB"/>
    <w:rsid w:val="009C463B"/>
    <w:rsid w:val="009D29FA"/>
    <w:rsid w:val="009E036E"/>
    <w:rsid w:val="009F602F"/>
    <w:rsid w:val="00A03AA4"/>
    <w:rsid w:val="00A11ACF"/>
    <w:rsid w:val="00A267F4"/>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3AA"/>
    <w:rsid w:val="00B5488B"/>
    <w:rsid w:val="00B63708"/>
    <w:rsid w:val="00B845E3"/>
    <w:rsid w:val="00B84AA0"/>
    <w:rsid w:val="00B85D62"/>
    <w:rsid w:val="00B86BE8"/>
    <w:rsid w:val="00B91D87"/>
    <w:rsid w:val="00B94E8E"/>
    <w:rsid w:val="00BA3080"/>
    <w:rsid w:val="00BB7D24"/>
    <w:rsid w:val="00BD4541"/>
    <w:rsid w:val="00BD47D7"/>
    <w:rsid w:val="00BD517A"/>
    <w:rsid w:val="00BE06F9"/>
    <w:rsid w:val="00BE18E9"/>
    <w:rsid w:val="00BF7AA8"/>
    <w:rsid w:val="00C06EE4"/>
    <w:rsid w:val="00C12C1B"/>
    <w:rsid w:val="00C15EC4"/>
    <w:rsid w:val="00C165C2"/>
    <w:rsid w:val="00C245DB"/>
    <w:rsid w:val="00C44DF4"/>
    <w:rsid w:val="00C46C65"/>
    <w:rsid w:val="00C55862"/>
    <w:rsid w:val="00C64F92"/>
    <w:rsid w:val="00C67A98"/>
    <w:rsid w:val="00C75039"/>
    <w:rsid w:val="00C762C9"/>
    <w:rsid w:val="00C80265"/>
    <w:rsid w:val="00C94A0B"/>
    <w:rsid w:val="00CA56E9"/>
    <w:rsid w:val="00CB3A13"/>
    <w:rsid w:val="00CB434C"/>
    <w:rsid w:val="00CB7C39"/>
    <w:rsid w:val="00CC177C"/>
    <w:rsid w:val="00CE0DE4"/>
    <w:rsid w:val="00CE2AB3"/>
    <w:rsid w:val="00CE408B"/>
    <w:rsid w:val="00CE5ECF"/>
    <w:rsid w:val="00CF3890"/>
    <w:rsid w:val="00CF5168"/>
    <w:rsid w:val="00D0602A"/>
    <w:rsid w:val="00D109E6"/>
    <w:rsid w:val="00D13294"/>
    <w:rsid w:val="00D15256"/>
    <w:rsid w:val="00D15A4D"/>
    <w:rsid w:val="00D1634C"/>
    <w:rsid w:val="00D16A8B"/>
    <w:rsid w:val="00D2300C"/>
    <w:rsid w:val="00D23CE8"/>
    <w:rsid w:val="00D45B36"/>
    <w:rsid w:val="00D45CE9"/>
    <w:rsid w:val="00D4648E"/>
    <w:rsid w:val="00D60339"/>
    <w:rsid w:val="00D6107E"/>
    <w:rsid w:val="00D62298"/>
    <w:rsid w:val="00D70DF3"/>
    <w:rsid w:val="00D87539"/>
    <w:rsid w:val="00DA5352"/>
    <w:rsid w:val="00DA5E5A"/>
    <w:rsid w:val="00DA71AC"/>
    <w:rsid w:val="00DA7AE7"/>
    <w:rsid w:val="00DB3CB3"/>
    <w:rsid w:val="00DB4BB2"/>
    <w:rsid w:val="00DB5695"/>
    <w:rsid w:val="00DC6415"/>
    <w:rsid w:val="00DD00F3"/>
    <w:rsid w:val="00DD65CA"/>
    <w:rsid w:val="00DE105D"/>
    <w:rsid w:val="00DE1FCF"/>
    <w:rsid w:val="00DE21CE"/>
    <w:rsid w:val="00DE3E25"/>
    <w:rsid w:val="00DE73A3"/>
    <w:rsid w:val="00E03681"/>
    <w:rsid w:val="00E11C94"/>
    <w:rsid w:val="00E11F4F"/>
    <w:rsid w:val="00E3264F"/>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26AB6"/>
    <w:rsid w:val="00F31A99"/>
    <w:rsid w:val="00F343F2"/>
    <w:rsid w:val="00F41198"/>
    <w:rsid w:val="00F41F8B"/>
    <w:rsid w:val="00F42095"/>
    <w:rsid w:val="00F44D53"/>
    <w:rsid w:val="00F4759E"/>
    <w:rsid w:val="00F51B71"/>
    <w:rsid w:val="00F60789"/>
    <w:rsid w:val="00F657DF"/>
    <w:rsid w:val="00F66DA7"/>
    <w:rsid w:val="00F74991"/>
    <w:rsid w:val="00F74D87"/>
    <w:rsid w:val="00F80D0D"/>
    <w:rsid w:val="00F81990"/>
    <w:rsid w:val="00F8296C"/>
    <w:rsid w:val="00F85A70"/>
    <w:rsid w:val="00F93153"/>
    <w:rsid w:val="00F95CC4"/>
    <w:rsid w:val="00FA2D02"/>
    <w:rsid w:val="00FA43E3"/>
    <w:rsid w:val="00FC22F7"/>
    <w:rsid w:val="00FC66D8"/>
    <w:rsid w:val="00FD1731"/>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BEB1F"/>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DocumentMap">
    <w:name w:val="Document Map"/>
    <w:basedOn w:val="Normal"/>
    <w:link w:val="DocumentMapChar"/>
    <w:uiPriority w:val="99"/>
    <w:semiHidden/>
    <w:unhideWhenUsed/>
    <w:rsid w:val="005A0E9E"/>
  </w:style>
  <w:style w:type="character" w:customStyle="1" w:styleId="DocumentMapChar">
    <w:name w:val="Document Map Char"/>
    <w:basedOn w:val="DefaultParagraphFont"/>
    <w:link w:val="DocumentMap"/>
    <w:uiPriority w:val="99"/>
    <w:semiHidden/>
    <w:rsid w:val="005A0E9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F7AE4-05E6-432C-A279-E67BFE258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7332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2017-06-22T16:11:00Z</dcterms:created>
  <dcterms:modified xsi:type="dcterms:W3CDTF">2017-06-22T16:11:00Z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